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8CB90">
      <w:pPr>
        <w:spacing w:before="156" w:beforeLines="50" w:after="156" w:afterLines="50" w:line="400" w:lineRule="exact"/>
        <w:jc w:val="center"/>
        <w:rPr>
          <w:rFonts w:ascii="方正小标宋简体" w:eastAsia="方正小标宋简体"/>
          <w:bCs/>
          <w:color w:val="auto"/>
          <w:sz w:val="44"/>
          <w:szCs w:val="44"/>
        </w:rPr>
      </w:pPr>
      <w:r>
        <w:rPr>
          <w:rFonts w:hint="eastAsia" w:ascii="方正小标宋简体" w:eastAsia="方正小标宋简体"/>
          <w:bCs/>
          <w:color w:val="auto"/>
          <w:sz w:val="44"/>
          <w:szCs w:val="44"/>
        </w:rPr>
        <w:t>2026年度广西科学技术进步奖拟提名项目公示信息</w:t>
      </w:r>
    </w:p>
    <w:p w14:paraId="1FC61F38">
      <w:pPr>
        <w:spacing w:before="156" w:beforeLines="50" w:after="156" w:afterLines="50" w:line="400" w:lineRule="exact"/>
        <w:jc w:val="center"/>
        <w:rPr>
          <w:rFonts w:ascii="方正小标宋简体" w:eastAsia="方正小标宋简体"/>
          <w:bCs/>
          <w:color w:val="auto"/>
          <w:sz w:val="44"/>
          <w:szCs w:val="44"/>
        </w:rPr>
      </w:pPr>
    </w:p>
    <w:tbl>
      <w:tblPr>
        <w:tblStyle w:val="7"/>
        <w:tblW w:w="14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5"/>
        <w:gridCol w:w="3882"/>
        <w:gridCol w:w="1646"/>
        <w:gridCol w:w="6104"/>
      </w:tblGrid>
      <w:tr w14:paraId="0D3D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EA86666">
            <w:pPr>
              <w:spacing w:line="36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项目名称</w:t>
            </w:r>
          </w:p>
        </w:tc>
        <w:tc>
          <w:tcPr>
            <w:tcW w:w="11632" w:type="dxa"/>
            <w:gridSpan w:val="3"/>
            <w:vAlign w:val="center"/>
          </w:tcPr>
          <w:p w14:paraId="6D6D17FA">
            <w:pPr>
              <w:spacing w:line="360" w:lineRule="exact"/>
              <w:jc w:val="center"/>
              <w:rPr>
                <w:rFonts w:hint="eastAsia" w:ascii="仿宋" w:hAnsi="仿宋" w:eastAsia="仿宋"/>
                <w:color w:val="auto"/>
                <w:kern w:val="0"/>
                <w:sz w:val="24"/>
                <w:szCs w:val="24"/>
              </w:rPr>
            </w:pPr>
            <w:r>
              <w:rPr>
                <w:rFonts w:hint="eastAsia" w:ascii="仿宋" w:hAnsi="仿宋" w:eastAsia="仿宋"/>
                <w:color w:val="auto"/>
                <w:kern w:val="0"/>
                <w:sz w:val="24"/>
                <w:szCs w:val="24"/>
              </w:rPr>
              <w:t>绿色低碳通算智融合关键技术及应用</w:t>
            </w:r>
          </w:p>
        </w:tc>
      </w:tr>
      <w:tr w14:paraId="1D0C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170F7912">
            <w:pPr>
              <w:spacing w:line="36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提名单位</w:t>
            </w:r>
            <w:r>
              <w:rPr>
                <w:rFonts w:hint="eastAsia" w:ascii="仿宋" w:hAnsi="仿宋" w:eastAsia="仿宋"/>
                <w:b/>
                <w:color w:val="auto"/>
                <w:kern w:val="0"/>
                <w:sz w:val="24"/>
                <w:szCs w:val="24"/>
              </w:rPr>
              <w:t>/提名专家</w:t>
            </w:r>
          </w:p>
        </w:tc>
        <w:tc>
          <w:tcPr>
            <w:tcW w:w="3882" w:type="dxa"/>
            <w:vAlign w:val="center"/>
          </w:tcPr>
          <w:p w14:paraId="47A45C97">
            <w:pPr>
              <w:spacing w:line="360" w:lineRule="exact"/>
              <w:jc w:val="center"/>
              <w:rPr>
                <w:rFonts w:hint="eastAsia" w:ascii="仿宋" w:hAnsi="仿宋" w:eastAsia="仿宋"/>
                <w:color w:val="auto"/>
                <w:kern w:val="0"/>
                <w:sz w:val="24"/>
                <w:szCs w:val="24"/>
              </w:rPr>
            </w:pPr>
            <w:r>
              <w:rPr>
                <w:rFonts w:hint="eastAsia" w:ascii="仿宋" w:hAnsi="仿宋" w:eastAsia="仿宋"/>
                <w:color w:val="auto"/>
                <w:kern w:val="0"/>
                <w:sz w:val="24"/>
                <w:szCs w:val="24"/>
              </w:rPr>
              <w:t>广西壮族自治区教育厅</w:t>
            </w:r>
          </w:p>
        </w:tc>
        <w:tc>
          <w:tcPr>
            <w:tcW w:w="1646" w:type="dxa"/>
            <w:vAlign w:val="center"/>
          </w:tcPr>
          <w:p w14:paraId="0780D76A">
            <w:pPr>
              <w:spacing w:line="40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提名等级</w:t>
            </w:r>
          </w:p>
        </w:tc>
        <w:tc>
          <w:tcPr>
            <w:tcW w:w="6104" w:type="dxa"/>
            <w:vAlign w:val="center"/>
          </w:tcPr>
          <w:p w14:paraId="74D4A6B7">
            <w:pPr>
              <w:spacing w:line="360" w:lineRule="exact"/>
              <w:jc w:val="center"/>
              <w:rPr>
                <w:rFonts w:hint="eastAsia" w:ascii="仿宋" w:hAnsi="仿宋" w:eastAsia="仿宋"/>
                <w:b/>
                <w:color w:val="auto"/>
                <w:kern w:val="0"/>
                <w:sz w:val="24"/>
                <w:szCs w:val="24"/>
              </w:rPr>
            </w:pPr>
            <w:r>
              <w:rPr>
                <w:rFonts w:hint="eastAsia" w:ascii="仿宋" w:hAnsi="仿宋" w:eastAsia="仿宋"/>
                <w:bCs/>
                <w:color w:val="auto"/>
                <w:kern w:val="0"/>
                <w:sz w:val="24"/>
                <w:szCs w:val="24"/>
              </w:rPr>
              <w:t>一等奖</w:t>
            </w:r>
          </w:p>
        </w:tc>
      </w:tr>
      <w:tr w14:paraId="34E1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BD2E3CA">
            <w:pPr>
              <w:spacing w:line="36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候选个人</w:t>
            </w:r>
          </w:p>
        </w:tc>
        <w:tc>
          <w:tcPr>
            <w:tcW w:w="11632" w:type="dxa"/>
            <w:gridSpan w:val="3"/>
            <w:shd w:val="clear" w:color="auto" w:fill="auto"/>
            <w:vAlign w:val="center"/>
          </w:tcPr>
          <w:p w14:paraId="3479849D">
            <w:pPr>
              <w:pStyle w:val="3"/>
              <w:spacing w:line="240" w:lineRule="auto"/>
              <w:ind w:firstLine="0" w:firstLineChars="0"/>
              <w:rPr>
                <w:rFonts w:ascii="仿宋" w:hAnsi="仿宋" w:eastAsia="仿宋"/>
                <w:bCs/>
                <w:color w:val="auto"/>
                <w:kern w:val="0"/>
                <w:szCs w:val="24"/>
              </w:rPr>
            </w:pPr>
            <w:r>
              <w:rPr>
                <w:rFonts w:hint="eastAsia" w:ascii="仿宋" w:hAnsi="仿宋" w:eastAsia="仿宋"/>
                <w:bCs/>
                <w:color w:val="auto"/>
                <w:kern w:val="0"/>
                <w:szCs w:val="24"/>
              </w:rPr>
              <w:t>葛晓虎，白琳，李晓记，钟磊，叶俊良，匡立伟，禹诚，杨庭，宁伟强，罗丽燕，林亮，李澍，陈励锋，王雪峰，万晖</w:t>
            </w:r>
            <w:bookmarkStart w:id="3" w:name="_GoBack"/>
            <w:bookmarkEnd w:id="3"/>
          </w:p>
        </w:tc>
      </w:tr>
      <w:tr w14:paraId="0903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44176052">
            <w:pPr>
              <w:spacing w:line="36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候选组织</w:t>
            </w:r>
          </w:p>
        </w:tc>
        <w:tc>
          <w:tcPr>
            <w:tcW w:w="11632" w:type="dxa"/>
            <w:gridSpan w:val="3"/>
            <w:shd w:val="clear" w:color="auto" w:fill="auto"/>
            <w:vAlign w:val="center"/>
          </w:tcPr>
          <w:p w14:paraId="4FD71310">
            <w:pPr>
              <w:pStyle w:val="3"/>
              <w:spacing w:line="240" w:lineRule="auto"/>
              <w:ind w:firstLine="0" w:firstLineChars="0"/>
              <w:rPr>
                <w:rFonts w:ascii="仿宋" w:hAnsi="仿宋" w:eastAsia="仿宋"/>
                <w:bCs/>
                <w:color w:val="auto"/>
                <w:kern w:val="0"/>
                <w:szCs w:val="24"/>
              </w:rPr>
            </w:pPr>
            <w:r>
              <w:rPr>
                <w:rFonts w:hint="eastAsia" w:ascii="仿宋" w:hAnsi="仿宋" w:eastAsia="仿宋"/>
                <w:bCs/>
                <w:color w:val="auto"/>
                <w:kern w:val="0"/>
                <w:szCs w:val="24"/>
              </w:rPr>
              <w:t>广西大学，华中科技大学，桂林电子科技大学，中国移动通信集团广西有限公司，烽火通信科技股份有限公司，武汉城市职业学院，湖北华中电力科技开发有限责任公司，润建股份有限公司</w:t>
            </w:r>
          </w:p>
        </w:tc>
      </w:tr>
      <w:tr w14:paraId="7E2F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7" w:hRule="atLeast"/>
          <w:jc w:val="center"/>
        </w:trPr>
        <w:tc>
          <w:tcPr>
            <w:tcW w:w="2405" w:type="dxa"/>
            <w:vAlign w:val="center"/>
          </w:tcPr>
          <w:p w14:paraId="5A1C78C2">
            <w:pPr>
              <w:spacing w:line="40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项目简介</w:t>
            </w:r>
          </w:p>
        </w:tc>
        <w:tc>
          <w:tcPr>
            <w:tcW w:w="11632" w:type="dxa"/>
            <w:gridSpan w:val="3"/>
            <w:vAlign w:val="center"/>
          </w:tcPr>
          <w:p w14:paraId="758C51AE">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低碳高能效通信网络是国家推进双碳战略与新一代信息技术融合应用支撑点。中国在4G/5G通信技术上的突破使我国成为全球最大同时增长最快的移动通信市场，这也使我国成为全球唯一碳排放快速增长的主要移动通信市场，西方发达国家持续以中国通信网络碳排放快速增长为由从国际道德角度绑架和束缚我国通信网络产业发展，我国通信行业面临向低碳可持续发展产业转型压力，解决通信网络低碳高能效稳定运行问题是我国通信产业打破国外技术和市场封锁的关键挑战。</w:t>
            </w:r>
          </w:p>
          <w:p w14:paraId="5D2DACBC">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本项目依托重大专项、重点研发和国基金重大项目，历经8年产学研用合作，突破异构融合虚拟切片网络构架、光伏能量流与信息流融合调度、云平台不完备大数据填补等技术瓶颈，研发低碳高能效异构网络智能运维系统并产业化应用，在一带一路国家形成大规模产品及技术成套出口，突破了国外技术和市场封锁。</w:t>
            </w:r>
          </w:p>
          <w:p w14:paraId="5C78DFA3">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1.创立蜂窝与WiFi异构网络虚拟切片融合构架。首次阐明业务解耦下异构网络资源调度机理，解决了传统蜂窝信号切换到WiFi信号时延大和蜂窝网信号穿墙损耗大的问题，异构网络融合架构能耗较传统蜂窝网络能耗降低了30%以上，应用到家庭组网终端并销售超5000万套，获2024年中国通信学会科学技术一等奖。</w:t>
            </w:r>
          </w:p>
          <w:p w14:paraId="19D2F32D">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2.突破分布式光伏能量流与基站信息流融合调度技术。首次基于㶲平衡理论将网络流量与光伏能量时空分布适配优化，解决了网络流量与分布式光伏能量调度之间的㶲损最小化难题，实现通信网络碳排放效率提升7.1倍，是现有国内外报道的最高水平，保障联通公司现网低碳高能效稳定运行，获2023年世界互联网大会领先科技奖。</w:t>
            </w:r>
          </w:p>
          <w:p w14:paraId="796129BE">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3.攻克多源异构运维大数据高效能处理方法。利用去偏对比学习增强多模态数据抽取，解决了异构运维大数据感知难题，并通过启发式特征约简及离散弱相关数据并行分析技术节省计算能耗15%以上，规模应用于联通公司通信网络服务器，创新技术获华为公司火花奖。</w:t>
            </w:r>
          </w:p>
          <w:p w14:paraId="07555547">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4.构建低碳高能效异构网络智能运维系统与技术体系。独创了一种基于多源多维特征融合的高能耗故障预测技术，通过智能化手段提前预测和快速处理网络故障导致高能耗的问题，形成低碳高能效异构通信网络接入、组网、运维数据监测和维护技术体系，在国内现网大规模应用并在一带一路国家实现产品和技术成套出口，被商务部评为技术贸易创新实践案例并获2023年全球电信管理论坛杰出贡献奖。</w:t>
            </w:r>
          </w:p>
          <w:p w14:paraId="68CC3C39">
            <w:pPr>
              <w:pStyle w:val="3"/>
              <w:spacing w:line="360" w:lineRule="exact"/>
              <w:rPr>
                <w:rFonts w:ascii="仿宋" w:hAnsi="仿宋" w:eastAsia="仿宋"/>
                <w:bCs/>
                <w:color w:val="auto"/>
                <w:kern w:val="0"/>
                <w:szCs w:val="24"/>
              </w:rPr>
            </w:pPr>
            <w:r>
              <w:rPr>
                <w:rFonts w:hint="eastAsia" w:ascii="仿宋" w:hAnsi="仿宋" w:eastAsia="仿宋"/>
                <w:bCs/>
                <w:color w:val="auto"/>
                <w:kern w:val="0"/>
                <w:szCs w:val="24"/>
              </w:rPr>
              <w:t>授权发明专利253项，2项获得中国专利银奖，获批国际电信联盟标准43项，GB/T国家标准39项，行业标准65项；获批软件著作权4项；2022年IET全球工程技术创新奖。本项目产品销往100多个国家和地区，用户规模占国内市场份额 37.4%。成果应用于“东数西算”和“西电东送”等国家重大工程，支撑DeepSeek大模型在电信营运商智算中心应用。本项目近3年企业新增销售额超过302亿元，间接经济效益超千亿元。</w:t>
            </w:r>
          </w:p>
        </w:tc>
      </w:tr>
    </w:tbl>
    <w:p w14:paraId="09DB34F0">
      <w:pPr>
        <w:jc w:val="center"/>
        <w:rPr>
          <w:rFonts w:hint="eastAsia" w:ascii="仿宋" w:hAnsi="仿宋" w:eastAsia="仿宋"/>
          <w:b/>
          <w:bCs/>
          <w:color w:val="auto"/>
        </w:rPr>
      </w:pPr>
    </w:p>
    <w:p w14:paraId="398A98A1">
      <w:pPr>
        <w:widowControl w:val="0"/>
        <w:adjustRightInd w:val="0"/>
        <w:snapToGrid w:val="0"/>
        <w:spacing w:line="406" w:lineRule="exact"/>
        <w:jc w:val="center"/>
        <w:rPr>
          <w:rFonts w:hint="eastAsia" w:ascii="仿宋" w:hAnsi="仿宋" w:eastAsia="仿宋"/>
          <w:b/>
          <w:snapToGrid w:val="0"/>
          <w:color w:val="auto"/>
          <w:szCs w:val="32"/>
        </w:rPr>
      </w:pPr>
      <w:r>
        <w:rPr>
          <w:rFonts w:hint="eastAsia" w:ascii="仿宋" w:hAnsi="仿宋" w:eastAsia="仿宋"/>
          <w:b/>
          <w:snapToGrid w:val="0"/>
          <w:color w:val="auto"/>
          <w:szCs w:val="32"/>
        </w:rPr>
        <w:t>一</w:t>
      </w:r>
      <w:r>
        <w:rPr>
          <w:rFonts w:ascii="仿宋" w:hAnsi="仿宋" w:eastAsia="仿宋"/>
          <w:b/>
          <w:snapToGrid w:val="0"/>
          <w:color w:val="auto"/>
          <w:szCs w:val="32"/>
        </w:rPr>
        <w:t>、主要知识产权和标准规范目录（不超过12件）</w:t>
      </w:r>
    </w:p>
    <w:p w14:paraId="150E303B">
      <w:pPr>
        <w:widowControl w:val="0"/>
        <w:adjustRightInd w:val="0"/>
        <w:snapToGrid w:val="0"/>
        <w:spacing w:after="156" w:afterLines="50" w:line="406" w:lineRule="exact"/>
        <w:jc w:val="center"/>
        <w:rPr>
          <w:rFonts w:hint="eastAsia" w:ascii="仿宋" w:hAnsi="仿宋" w:eastAsia="仿宋"/>
          <w:b/>
          <w:snapToGrid w:val="0"/>
          <w:color w:val="auto"/>
          <w:szCs w:val="32"/>
        </w:rPr>
      </w:pPr>
      <w:r>
        <w:rPr>
          <w:rFonts w:ascii="仿宋" w:hAnsi="仿宋" w:eastAsia="仿宋"/>
          <w:b/>
          <w:snapToGrid w:val="0"/>
          <w:color w:val="auto"/>
          <w:szCs w:val="32"/>
        </w:rPr>
        <w:t>（适用于产业创新类、社会公益类）</w:t>
      </w:r>
    </w:p>
    <w:tbl>
      <w:tblPr>
        <w:tblStyle w:val="7"/>
        <w:tblW w:w="140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557"/>
        <w:gridCol w:w="709"/>
        <w:gridCol w:w="2003"/>
        <w:gridCol w:w="1195"/>
        <w:gridCol w:w="684"/>
        <w:gridCol w:w="2437"/>
        <w:gridCol w:w="2328"/>
        <w:gridCol w:w="1134"/>
        <w:gridCol w:w="1276"/>
        <w:gridCol w:w="1134"/>
        <w:gridCol w:w="618"/>
      </w:tblGrid>
      <w:tr w14:paraId="5FF83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80" w:hRule="atLeast"/>
          <w:jc w:val="center"/>
        </w:trPr>
        <w:tc>
          <w:tcPr>
            <w:tcW w:w="557" w:type="dxa"/>
            <w:tcBorders>
              <w:top w:val="single" w:color="auto" w:sz="8" w:space="0"/>
              <w:left w:val="single" w:color="auto" w:sz="8" w:space="0"/>
              <w:bottom w:val="single" w:color="auto" w:sz="4" w:space="0"/>
              <w:right w:val="single" w:color="auto" w:sz="4" w:space="0"/>
            </w:tcBorders>
            <w:tcMar>
              <w:top w:w="0" w:type="dxa"/>
              <w:left w:w="57" w:type="dxa"/>
              <w:bottom w:w="0" w:type="dxa"/>
              <w:right w:w="57" w:type="dxa"/>
            </w:tcMar>
            <w:vAlign w:val="center"/>
          </w:tcPr>
          <w:p w14:paraId="5C5D15C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排序</w:t>
            </w:r>
          </w:p>
        </w:tc>
        <w:tc>
          <w:tcPr>
            <w:tcW w:w="709"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A1A7FE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类型</w:t>
            </w:r>
          </w:p>
        </w:tc>
        <w:tc>
          <w:tcPr>
            <w:tcW w:w="2003"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5A91190">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成果名称</w:t>
            </w:r>
          </w:p>
        </w:tc>
        <w:tc>
          <w:tcPr>
            <w:tcW w:w="1195"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213A2F2">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编号（年卷页；版号）</w:t>
            </w:r>
          </w:p>
        </w:tc>
        <w:tc>
          <w:tcPr>
            <w:tcW w:w="68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65EEB6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授权发布日期</w:t>
            </w:r>
          </w:p>
        </w:tc>
        <w:tc>
          <w:tcPr>
            <w:tcW w:w="2437"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2792E1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完成人</w:t>
            </w:r>
          </w:p>
          <w:p w14:paraId="5DEB507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（作者）</w:t>
            </w:r>
          </w:p>
        </w:tc>
        <w:tc>
          <w:tcPr>
            <w:tcW w:w="2328"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77A28EA">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完成单位</w:t>
            </w:r>
          </w:p>
          <w:p w14:paraId="14806A62">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（署名单位）</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1D7DEF1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授权发布部门（刊名）</w:t>
            </w:r>
          </w:p>
        </w:tc>
        <w:tc>
          <w:tcPr>
            <w:tcW w:w="127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034B309D">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成果状态（通讯作者）</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6949AEC">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广西单位是否原始署名</w:t>
            </w:r>
          </w:p>
        </w:tc>
        <w:tc>
          <w:tcPr>
            <w:tcW w:w="618" w:type="dxa"/>
            <w:tcBorders>
              <w:top w:val="single" w:color="auto" w:sz="8" w:space="0"/>
              <w:left w:val="single" w:color="auto" w:sz="4" w:space="0"/>
              <w:bottom w:val="single" w:color="auto" w:sz="4" w:space="0"/>
              <w:right w:val="single" w:color="auto" w:sz="8" w:space="0"/>
            </w:tcBorders>
            <w:tcMar>
              <w:top w:w="0" w:type="dxa"/>
              <w:left w:w="57" w:type="dxa"/>
              <w:bottom w:w="0" w:type="dxa"/>
              <w:right w:w="57" w:type="dxa"/>
            </w:tcMar>
            <w:vAlign w:val="center"/>
          </w:tcPr>
          <w:p w14:paraId="3E08502A">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附件编号</w:t>
            </w:r>
          </w:p>
        </w:tc>
      </w:tr>
      <w:tr w14:paraId="226B6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FB8162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lang w:val="en-US" w:eastAsia="zh-CN"/>
              </w:rPr>
              <w:t>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436A23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EFA263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哑资源管理系统自动测试方法、系统、设备、介质和产品</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D981C8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 2026 1 0055604.9</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8C965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2026-03-27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F70026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胡建峰,张振荣,葛晓虎,禹诚,王雪峰,唐振华,叶俊良,万晖,李海涛,丁翔峰,董强,杨庭</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1A481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武汉烽火技术服务有限公司,广西大学,华中科技大学,武汉城市职业学院,湖北华中电力科技开发有限责任公司</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64BBC0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278F1B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4DDFAE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2EE7E2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w:t>
            </w:r>
          </w:p>
        </w:tc>
      </w:tr>
      <w:tr w14:paraId="23F7B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0D95D74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lang w:val="en-US" w:eastAsia="zh-CN"/>
              </w:rPr>
              <w:t>2</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870057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C8ECE8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一种毫米波MIMO-OFDM通信系统的混合预编码能效优化方法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D959CC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ZL201910403994.4</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AD788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2020-11-24</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CF5D03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葛晓虎,何元渊,李强,钟祎</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42EEB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BCD60B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1040BB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342775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67EA562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1-2</w:t>
            </w:r>
          </w:p>
        </w:tc>
      </w:tr>
      <w:tr w14:paraId="704D5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709E578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3</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5912F5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DD1C6C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一种基于平均场博弈的移动通信基站能效优化方法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3C4175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ZL201710642901.4</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C023E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2018-04-10</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A2EDAD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葛晓虎,贾皓明,韩涛,李强</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28F511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F269C0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3D572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44F7A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BDE0AB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1-3</w:t>
            </w:r>
          </w:p>
        </w:tc>
      </w:tr>
      <w:tr w14:paraId="7C3C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2CE75B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4</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585C21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774E94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一种基于机器学习的高精度室内可见光定位方法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B26A76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ZL201810509459.2</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4F10D5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2022-08-09</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E9A4E7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李晓记; 胡云云; 曹燕平; 陆毅; 周昱; 潘桂泉</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0C15FD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桂林电子科技大学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8558C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7AA7B5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24AA9C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56058D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1-4</w:t>
            </w:r>
          </w:p>
        </w:tc>
      </w:tr>
      <w:tr w14:paraId="35A21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A7FF3E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5</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9BDF37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31D55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一种Wi-Fi样本数据优化方法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DD1BAB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ZL201810993696.0</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1F548D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2020-07-17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9F9113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罗丽燕; 王玫; 仇洪冰; 宋浠瑜; 邓小芳; 周陬; 覃泓铭; 韦金泉</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316370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桂林电子科技大学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64A2CC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6A3FC2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C0DFAD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F5C5E8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1-5</w:t>
            </w:r>
          </w:p>
        </w:tc>
      </w:tr>
      <w:tr w14:paraId="51DA6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25BC809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6</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B9EC63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标准</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526711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一种面向云的数据库安全态势感知系统</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ECD3BA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 2020 1 0697965.6</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27717C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2020-07-17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DD8863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谭彬;宁建创;梁业裕;钟磊;何伟贤;刘静;张玉兰 兰世战;邓远芬</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6A199B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中国移动通信集团广西有限公司</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091C72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391472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63A14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442EC8C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1-6</w:t>
            </w:r>
          </w:p>
        </w:tc>
      </w:tr>
      <w:tr w14:paraId="3DFE6C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1BB9E8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7</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BD2DB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8F46F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一种小区休眠控制方法和电子设备</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A2D6E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 2020 1 1222673.3</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61C812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2020-11-05</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E94094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李阳德;刘静;林亮;黄海宁;岳磊;陆松</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0353E5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中国移动通信集团广西有限公司</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A55D0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3EDE18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F2E5E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C6A885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1-7</w:t>
            </w:r>
          </w:p>
        </w:tc>
      </w:tr>
      <w:tr w14:paraId="062EF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484B3E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8</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1F7463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标准</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64D91E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职业院校人工智能数据处理安全规范</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8E2662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T/GXIE 021-2025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075412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2025-11-26</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51595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刘莹,姚文龙,毛华彬,梁孟享,朱小燕,陆炫燃,李林芳,兰伟兴,黄荣雷,周林斌,徐海玲,陈金燕,覃碟,杨圆圆,张正辉,莫巧灵,农镇涛,徐丽萍,石素奇,覃登,朱大明,吴巧凤,张莹,酒梦天,王静,梁斌,罗娜娜,余晓凤,覃金艳,朱叶,侯龙真,黄采玥,程小军,陈敏,李勇波,谭浩淼,叶明川,张振荣,白琳,刘金辉,杨巨成,许明乐,赵洪刚,刘瞳,郭振民,刘洋通,孙浩,段仕浩,吴晓明,熊志文,许淮钦,梁钰,韦婷,杨冰,江咏海,叶维裕,肖泽亮,潘吉兴,甘露,邱杰,易红贵,李锦荣,钟磊,张子凌,杨树怀,林国钧,吴雍,苏芳来,黄永彰,宁永珊,阳柳,苏平,杨锴,陈文,陈雅,唐永平,黄家宁,陈智君</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4DD7F8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广西安全工程职业技术学院,广西天融信网络安全技术有限公司,广西大学,桂林电子科技大学计算机与信息安全学院</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073245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C4692A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A73B64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423A2F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1-8</w:t>
            </w:r>
          </w:p>
        </w:tc>
      </w:tr>
      <w:tr w14:paraId="6F3ED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39C6681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9</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235F14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8000F8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一种时空随机业务影响下的绿色无线网络碳效率优化方法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61936A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ZL202410747564.5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36CDC9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2025-11-04</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A4282C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钟祎,龚菲,江玮,葛晓虎,李强</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9A49D6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CCF825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8E22AB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3806E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74F6F69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1-10</w:t>
            </w:r>
          </w:p>
        </w:tc>
      </w:tr>
      <w:tr w14:paraId="39CA0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53A093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10</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98B2D8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A8D5E5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人工智能 预训练大模型训练与应用规范</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720709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T/GXIE 011-2025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9D1FB2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2025-05-05</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F7B044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白琳,张振荣,张春,翟玉兰,张茜,郑嘉利,邵文豪,兰伟,周磊,黄家柯,颜靖,邓彩蝶,胡永乐,罗汉炎,杨华生,伍祖德,李雅菁,王超,苏芳来,黄永彰,宁永珊,阳柳,刘定超,苏平,杨锴,雷建建,宫晓东,蔡堂华</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E5D104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广西大学计算机与电子信息学院,南宁市数据局,广西医科大学第一附属医院,华为技术有限公司,广西通信规划设计咨询有限公司</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6217FE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22925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54D3EE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650212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1-12</w:t>
            </w:r>
          </w:p>
        </w:tc>
      </w:tr>
      <w:tr w14:paraId="41F57A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260A4C1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A05864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E12806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基于分布式光纤的图乘法识别梁结构挠度方法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22139C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ZL202110647881.6</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298AA3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2023-03-17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82BCF8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谢开仲、吴斌、覃悦、周新文、梁栋、麻大利</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CF909D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20AD39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0C8D03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46B26D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6BE39D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1-11</w:t>
            </w:r>
          </w:p>
        </w:tc>
      </w:tr>
      <w:tr w14:paraId="1B0435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5FFA262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12</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9280A0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p>
        </w:tc>
        <w:tc>
          <w:tcPr>
            <w:tcW w:w="2003"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AB9B4C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Path Finding Method and System for Multiple Levels of Shortest Routes Between Source Network Element and</w:t>
            </w:r>
            <w:r>
              <w:rPr>
                <w:rFonts w:hint="default" w:ascii="仿宋" w:hAnsi="仿宋" w:eastAsia="仿宋"/>
                <w:bCs/>
                <w:color w:val="auto"/>
                <w:kern w:val="0"/>
                <w:sz w:val="21"/>
                <w:szCs w:val="21"/>
              </w:rPr>
              <w:t> </w:t>
            </w:r>
            <w:r>
              <w:rPr>
                <w:rFonts w:hint="eastAsia" w:ascii="仿宋" w:hAnsi="仿宋" w:eastAsia="仿宋"/>
                <w:bCs/>
                <w:color w:val="auto"/>
                <w:kern w:val="0"/>
                <w:sz w:val="21"/>
                <w:szCs w:val="21"/>
              </w:rPr>
              <w:t>Sink</w:t>
            </w:r>
            <w:r>
              <w:rPr>
                <w:rFonts w:hint="default" w:ascii="仿宋" w:hAnsi="仿宋" w:eastAsia="仿宋"/>
                <w:bCs/>
                <w:color w:val="auto"/>
                <w:kern w:val="0"/>
                <w:sz w:val="21"/>
                <w:szCs w:val="21"/>
              </w:rPr>
              <w:t> Network Element</w:t>
            </w:r>
          </w:p>
        </w:tc>
        <w:tc>
          <w:tcPr>
            <w:tcW w:w="1195"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7F4E58F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MY-194954-A</w:t>
            </w:r>
          </w:p>
        </w:tc>
        <w:tc>
          <w:tcPr>
            <w:tcW w:w="68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57865F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2022-12-28</w:t>
            </w:r>
          </w:p>
        </w:tc>
        <w:tc>
          <w:tcPr>
            <w:tcW w:w="243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AD6E75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李澍（LI, SHU）,孙汉甫（SUN, HANFU）,吴平（WU, PING）</w:t>
            </w:r>
          </w:p>
        </w:tc>
        <w:tc>
          <w:tcPr>
            <w:tcW w:w="2328"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CBD0CC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烽火通信科技股份有限公司</w:t>
            </w:r>
          </w:p>
        </w:tc>
        <w:tc>
          <w:tcPr>
            <w:tcW w:w="1134" w:type="dxa"/>
            <w:tcBorders>
              <w:top w:val="single" w:color="auto" w:sz="4" w:space="0"/>
              <w:left w:val="single" w:color="auto" w:sz="4" w:space="0"/>
              <w:bottom w:val="single" w:color="auto" w:sz="8" w:space="0"/>
              <w:right w:val="single" w:color="auto" w:sz="4" w:space="0"/>
            </w:tcBorders>
            <w:shd w:val="clear" w:color="auto" w:fill="auto"/>
            <w:tcMar>
              <w:top w:w="0" w:type="dxa"/>
              <w:left w:w="57" w:type="dxa"/>
              <w:bottom w:w="0" w:type="dxa"/>
              <w:right w:w="57" w:type="dxa"/>
            </w:tcMar>
            <w:vAlign w:val="center"/>
          </w:tcPr>
          <w:p w14:paraId="08CF6C9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912F71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3A3860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63693B8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1-9</w:t>
            </w:r>
          </w:p>
        </w:tc>
      </w:tr>
    </w:tbl>
    <w:p w14:paraId="52707DF5">
      <w:pPr>
        <w:widowControl w:val="0"/>
        <w:adjustRightInd w:val="0"/>
        <w:snapToGrid w:val="0"/>
        <w:spacing w:line="406" w:lineRule="exact"/>
        <w:jc w:val="center"/>
        <w:rPr>
          <w:rFonts w:hint="eastAsia" w:ascii="仿宋" w:hAnsi="仿宋" w:eastAsia="仿宋"/>
          <w:b/>
          <w:snapToGrid w:val="0"/>
          <w:color w:val="auto"/>
          <w:szCs w:val="32"/>
        </w:rPr>
      </w:pPr>
      <w:r>
        <w:rPr>
          <w:rFonts w:eastAsia="方正仿宋_GBK"/>
          <w:snapToGrid w:val="0"/>
          <w:color w:val="auto"/>
          <w:sz w:val="28"/>
          <w:szCs w:val="28"/>
        </w:rPr>
        <w:br w:type="page"/>
      </w:r>
      <w:bookmarkStart w:id="0" w:name="_Toc70090948"/>
      <w:bookmarkEnd w:id="0"/>
      <w:bookmarkStart w:id="1" w:name="_Toc72834352"/>
      <w:bookmarkEnd w:id="1"/>
      <w:bookmarkStart w:id="2" w:name="_Toc72832477"/>
      <w:r>
        <w:rPr>
          <w:rFonts w:hint="eastAsia" w:ascii="仿宋" w:hAnsi="仿宋" w:eastAsia="仿宋"/>
          <w:b/>
          <w:snapToGrid w:val="0"/>
          <w:color w:val="auto"/>
          <w:szCs w:val="32"/>
        </w:rPr>
        <w:t>二</w:t>
      </w:r>
      <w:r>
        <w:rPr>
          <w:rFonts w:ascii="仿宋" w:hAnsi="仿宋" w:eastAsia="仿宋"/>
          <w:b/>
          <w:snapToGrid w:val="0"/>
          <w:color w:val="auto"/>
          <w:szCs w:val="32"/>
        </w:rPr>
        <w:t>、科普作品目录（1部）</w:t>
      </w:r>
      <w:bookmarkEnd w:id="2"/>
    </w:p>
    <w:p w14:paraId="409D04C8">
      <w:pPr>
        <w:widowControl w:val="0"/>
        <w:adjustRightInd w:val="0"/>
        <w:snapToGrid w:val="0"/>
        <w:spacing w:line="406" w:lineRule="exact"/>
        <w:jc w:val="center"/>
        <w:rPr>
          <w:rFonts w:hint="eastAsia" w:ascii="仿宋" w:hAnsi="仿宋" w:eastAsia="仿宋"/>
          <w:b/>
          <w:snapToGrid w:val="0"/>
          <w:color w:val="auto"/>
          <w:szCs w:val="32"/>
        </w:rPr>
      </w:pPr>
      <w:r>
        <w:rPr>
          <w:rFonts w:ascii="仿宋" w:hAnsi="仿宋" w:eastAsia="仿宋"/>
          <w:b/>
          <w:snapToGrid w:val="0"/>
          <w:color w:val="auto"/>
          <w:szCs w:val="32"/>
        </w:rPr>
        <w:t>（适用于科学技术普及类）</w:t>
      </w:r>
    </w:p>
    <w:tbl>
      <w:tblPr>
        <w:tblStyle w:val="7"/>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892"/>
        <w:gridCol w:w="992"/>
        <w:gridCol w:w="1134"/>
        <w:gridCol w:w="1134"/>
        <w:gridCol w:w="1843"/>
        <w:gridCol w:w="1276"/>
        <w:gridCol w:w="1417"/>
        <w:gridCol w:w="1701"/>
        <w:gridCol w:w="993"/>
      </w:tblGrid>
      <w:tr w14:paraId="54AE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vAlign w:val="center"/>
          </w:tcPr>
          <w:p w14:paraId="62CD5242">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序号</w:t>
            </w:r>
          </w:p>
        </w:tc>
        <w:tc>
          <w:tcPr>
            <w:tcW w:w="2892" w:type="dxa"/>
            <w:tcBorders>
              <w:top w:val="single" w:color="auto" w:sz="4" w:space="0"/>
              <w:left w:val="nil"/>
              <w:bottom w:val="single" w:color="auto" w:sz="4" w:space="0"/>
              <w:right w:val="single" w:color="auto" w:sz="4" w:space="0"/>
            </w:tcBorders>
            <w:vAlign w:val="center"/>
          </w:tcPr>
          <w:p w14:paraId="79D99380">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科普作品名称</w:t>
            </w:r>
          </w:p>
        </w:tc>
        <w:tc>
          <w:tcPr>
            <w:tcW w:w="992" w:type="dxa"/>
            <w:tcBorders>
              <w:top w:val="single" w:color="auto" w:sz="4" w:space="0"/>
              <w:left w:val="nil"/>
              <w:bottom w:val="single" w:color="auto" w:sz="4" w:space="0"/>
              <w:right w:val="single" w:color="auto" w:sz="4" w:space="0"/>
            </w:tcBorders>
            <w:vAlign w:val="center"/>
          </w:tcPr>
          <w:p w14:paraId="2AFC9A6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版号</w:t>
            </w:r>
          </w:p>
        </w:tc>
        <w:tc>
          <w:tcPr>
            <w:tcW w:w="1134" w:type="dxa"/>
            <w:tcBorders>
              <w:top w:val="single" w:color="auto" w:sz="4" w:space="0"/>
              <w:left w:val="nil"/>
              <w:bottom w:val="single" w:color="auto" w:sz="4" w:space="0"/>
              <w:right w:val="single" w:color="auto" w:sz="4" w:space="0"/>
            </w:tcBorders>
            <w:vAlign w:val="center"/>
          </w:tcPr>
          <w:p w14:paraId="37BD0411">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作者</w:t>
            </w:r>
          </w:p>
        </w:tc>
        <w:tc>
          <w:tcPr>
            <w:tcW w:w="1134" w:type="dxa"/>
            <w:tcBorders>
              <w:top w:val="single" w:color="auto" w:sz="4" w:space="0"/>
              <w:left w:val="nil"/>
              <w:bottom w:val="single" w:color="auto" w:sz="4" w:space="0"/>
              <w:right w:val="single" w:color="auto" w:sz="4" w:space="0"/>
            </w:tcBorders>
            <w:vAlign w:val="center"/>
          </w:tcPr>
          <w:p w14:paraId="6951CA0E">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出版时间（年月日）</w:t>
            </w:r>
          </w:p>
        </w:tc>
        <w:tc>
          <w:tcPr>
            <w:tcW w:w="1843" w:type="dxa"/>
            <w:tcBorders>
              <w:top w:val="single" w:color="auto" w:sz="4" w:space="0"/>
              <w:left w:val="nil"/>
              <w:bottom w:val="single" w:color="auto" w:sz="4" w:space="0"/>
              <w:right w:val="single" w:color="auto" w:sz="4" w:space="0"/>
            </w:tcBorders>
            <w:vAlign w:val="center"/>
          </w:tcPr>
          <w:p w14:paraId="01C158A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出版单位</w:t>
            </w:r>
          </w:p>
        </w:tc>
        <w:tc>
          <w:tcPr>
            <w:tcW w:w="1276" w:type="dxa"/>
            <w:tcBorders>
              <w:top w:val="single" w:color="auto" w:sz="4" w:space="0"/>
              <w:left w:val="nil"/>
              <w:bottom w:val="single" w:color="auto" w:sz="4" w:space="0"/>
              <w:right w:val="single" w:color="auto" w:sz="4" w:space="0"/>
            </w:tcBorders>
            <w:vAlign w:val="center"/>
          </w:tcPr>
          <w:p w14:paraId="7173934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是否为丛书（系列）</w:t>
            </w:r>
          </w:p>
        </w:tc>
        <w:tc>
          <w:tcPr>
            <w:tcW w:w="1417" w:type="dxa"/>
            <w:tcBorders>
              <w:top w:val="single" w:color="auto" w:sz="4" w:space="0"/>
              <w:left w:val="nil"/>
              <w:bottom w:val="single" w:color="auto" w:sz="4" w:space="0"/>
              <w:right w:val="single" w:color="auto" w:sz="4" w:space="0"/>
            </w:tcBorders>
            <w:vAlign w:val="center"/>
          </w:tcPr>
          <w:p w14:paraId="79E6E27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丛书（系列）</w:t>
            </w:r>
          </w:p>
          <w:p w14:paraId="298BCD5F">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数量</w:t>
            </w:r>
          </w:p>
        </w:tc>
        <w:tc>
          <w:tcPr>
            <w:tcW w:w="1701" w:type="dxa"/>
            <w:tcBorders>
              <w:top w:val="single" w:color="auto" w:sz="4" w:space="0"/>
              <w:left w:val="nil"/>
              <w:bottom w:val="single" w:color="auto" w:sz="4" w:space="0"/>
              <w:right w:val="single" w:color="auto" w:sz="4" w:space="0"/>
            </w:tcBorders>
            <w:vAlign w:val="center"/>
          </w:tcPr>
          <w:p w14:paraId="73528801">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广西单位或工作个人是否为著作权人</w:t>
            </w:r>
          </w:p>
        </w:tc>
        <w:tc>
          <w:tcPr>
            <w:tcW w:w="993" w:type="dxa"/>
            <w:tcBorders>
              <w:top w:val="single" w:color="auto" w:sz="4" w:space="0"/>
              <w:left w:val="nil"/>
              <w:bottom w:val="single" w:color="auto" w:sz="4" w:space="0"/>
              <w:right w:val="single" w:color="auto" w:sz="4" w:space="0"/>
            </w:tcBorders>
            <w:vAlign w:val="center"/>
          </w:tcPr>
          <w:p w14:paraId="40388E0B">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附件编号</w:t>
            </w:r>
          </w:p>
        </w:tc>
      </w:tr>
      <w:tr w14:paraId="315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47" w:type="dxa"/>
            <w:tcBorders>
              <w:top w:val="single" w:color="auto" w:sz="4" w:space="0"/>
              <w:left w:val="single" w:color="auto" w:sz="4" w:space="0"/>
              <w:bottom w:val="single" w:color="auto" w:sz="4" w:space="0"/>
              <w:right w:val="single" w:color="auto" w:sz="4" w:space="0"/>
            </w:tcBorders>
            <w:vAlign w:val="center"/>
          </w:tcPr>
          <w:p w14:paraId="32BFA47D">
            <w:pPr>
              <w:widowControl w:val="0"/>
              <w:adjustRightInd w:val="0"/>
              <w:snapToGrid w:val="0"/>
              <w:spacing w:line="320" w:lineRule="exact"/>
              <w:jc w:val="center"/>
              <w:rPr>
                <w:rFonts w:eastAsia="方正仿宋_GBK"/>
                <w:snapToGrid w:val="0"/>
                <w:color w:val="auto"/>
                <w:sz w:val="18"/>
                <w:szCs w:val="18"/>
              </w:rPr>
            </w:pPr>
          </w:p>
        </w:tc>
        <w:tc>
          <w:tcPr>
            <w:tcW w:w="2892" w:type="dxa"/>
            <w:tcBorders>
              <w:top w:val="single" w:color="auto" w:sz="4" w:space="0"/>
              <w:left w:val="nil"/>
              <w:bottom w:val="single" w:color="auto" w:sz="4" w:space="0"/>
              <w:right w:val="single" w:color="auto" w:sz="4" w:space="0"/>
            </w:tcBorders>
            <w:vAlign w:val="center"/>
          </w:tcPr>
          <w:p w14:paraId="7D161B02">
            <w:pPr>
              <w:widowControl w:val="0"/>
              <w:adjustRightInd w:val="0"/>
              <w:snapToGrid w:val="0"/>
              <w:spacing w:line="320" w:lineRule="exact"/>
              <w:jc w:val="both"/>
              <w:rPr>
                <w:rFonts w:eastAsia="方正仿宋_GBK"/>
                <w:snapToGrid w:val="0"/>
                <w:color w:val="auto"/>
                <w:sz w:val="18"/>
                <w:szCs w:val="18"/>
              </w:rPr>
            </w:pPr>
          </w:p>
        </w:tc>
        <w:tc>
          <w:tcPr>
            <w:tcW w:w="992" w:type="dxa"/>
            <w:tcBorders>
              <w:top w:val="single" w:color="auto" w:sz="4" w:space="0"/>
              <w:left w:val="nil"/>
              <w:bottom w:val="single" w:color="auto" w:sz="4" w:space="0"/>
              <w:right w:val="single" w:color="auto" w:sz="4" w:space="0"/>
            </w:tcBorders>
            <w:vAlign w:val="center"/>
          </w:tcPr>
          <w:p w14:paraId="5417267E">
            <w:pPr>
              <w:widowControl w:val="0"/>
              <w:adjustRightInd w:val="0"/>
              <w:snapToGrid w:val="0"/>
              <w:spacing w:line="320" w:lineRule="exact"/>
              <w:jc w:val="both"/>
              <w:rPr>
                <w:rFonts w:eastAsia="方正仿宋_GBK"/>
                <w:snapToGrid w:val="0"/>
                <w:color w:val="auto"/>
                <w:sz w:val="18"/>
                <w:szCs w:val="18"/>
              </w:rPr>
            </w:pPr>
          </w:p>
        </w:tc>
        <w:tc>
          <w:tcPr>
            <w:tcW w:w="1134" w:type="dxa"/>
            <w:tcBorders>
              <w:top w:val="single" w:color="auto" w:sz="4" w:space="0"/>
              <w:left w:val="nil"/>
              <w:bottom w:val="single" w:color="auto" w:sz="4" w:space="0"/>
              <w:right w:val="single" w:color="auto" w:sz="4" w:space="0"/>
            </w:tcBorders>
            <w:vAlign w:val="center"/>
          </w:tcPr>
          <w:p w14:paraId="172C98E7">
            <w:pPr>
              <w:widowControl w:val="0"/>
              <w:adjustRightInd w:val="0"/>
              <w:snapToGrid w:val="0"/>
              <w:spacing w:line="320" w:lineRule="exact"/>
              <w:jc w:val="both"/>
              <w:rPr>
                <w:rFonts w:eastAsia="方正仿宋_GBK"/>
                <w:snapToGrid w:val="0"/>
                <w:color w:val="auto"/>
                <w:sz w:val="18"/>
                <w:szCs w:val="18"/>
              </w:rPr>
            </w:pPr>
          </w:p>
        </w:tc>
        <w:tc>
          <w:tcPr>
            <w:tcW w:w="1134" w:type="dxa"/>
            <w:tcBorders>
              <w:top w:val="single" w:color="auto" w:sz="4" w:space="0"/>
              <w:left w:val="nil"/>
              <w:bottom w:val="single" w:color="auto" w:sz="4" w:space="0"/>
              <w:right w:val="single" w:color="auto" w:sz="4" w:space="0"/>
            </w:tcBorders>
            <w:vAlign w:val="center"/>
          </w:tcPr>
          <w:p w14:paraId="24F28354">
            <w:pPr>
              <w:widowControl w:val="0"/>
              <w:adjustRightInd w:val="0"/>
              <w:snapToGrid w:val="0"/>
              <w:spacing w:line="320" w:lineRule="exact"/>
              <w:jc w:val="both"/>
              <w:rPr>
                <w:rFonts w:eastAsia="方正仿宋_GBK"/>
                <w:snapToGrid w:val="0"/>
                <w:color w:val="auto"/>
                <w:sz w:val="18"/>
                <w:szCs w:val="18"/>
              </w:rPr>
            </w:pPr>
          </w:p>
        </w:tc>
        <w:tc>
          <w:tcPr>
            <w:tcW w:w="1843" w:type="dxa"/>
            <w:tcBorders>
              <w:top w:val="single" w:color="auto" w:sz="4" w:space="0"/>
              <w:left w:val="nil"/>
              <w:bottom w:val="single" w:color="auto" w:sz="4" w:space="0"/>
              <w:right w:val="single" w:color="auto" w:sz="4" w:space="0"/>
            </w:tcBorders>
            <w:vAlign w:val="center"/>
          </w:tcPr>
          <w:p w14:paraId="06A4E3D8">
            <w:pPr>
              <w:widowControl w:val="0"/>
              <w:adjustRightInd w:val="0"/>
              <w:snapToGrid w:val="0"/>
              <w:spacing w:line="320" w:lineRule="exact"/>
              <w:jc w:val="both"/>
              <w:rPr>
                <w:rFonts w:eastAsia="方正仿宋_GBK"/>
                <w:snapToGrid w:val="0"/>
                <w:color w:val="auto"/>
                <w:sz w:val="18"/>
                <w:szCs w:val="18"/>
              </w:rPr>
            </w:pPr>
          </w:p>
        </w:tc>
        <w:tc>
          <w:tcPr>
            <w:tcW w:w="1276" w:type="dxa"/>
            <w:tcBorders>
              <w:top w:val="single" w:color="auto" w:sz="4" w:space="0"/>
              <w:left w:val="nil"/>
              <w:bottom w:val="single" w:color="auto" w:sz="4" w:space="0"/>
              <w:right w:val="single" w:color="auto" w:sz="4" w:space="0"/>
            </w:tcBorders>
            <w:vAlign w:val="center"/>
          </w:tcPr>
          <w:p w14:paraId="7EC57D07">
            <w:pPr>
              <w:widowControl w:val="0"/>
              <w:adjustRightInd w:val="0"/>
              <w:snapToGrid w:val="0"/>
              <w:spacing w:line="320" w:lineRule="exact"/>
              <w:jc w:val="both"/>
              <w:rPr>
                <w:rFonts w:eastAsia="方正仿宋_GBK"/>
                <w:snapToGrid w:val="0"/>
                <w:color w:val="auto"/>
                <w:sz w:val="18"/>
                <w:szCs w:val="18"/>
              </w:rPr>
            </w:pPr>
          </w:p>
        </w:tc>
        <w:tc>
          <w:tcPr>
            <w:tcW w:w="1417" w:type="dxa"/>
            <w:tcBorders>
              <w:top w:val="single" w:color="auto" w:sz="4" w:space="0"/>
              <w:left w:val="nil"/>
              <w:bottom w:val="single" w:color="auto" w:sz="4" w:space="0"/>
              <w:right w:val="single" w:color="auto" w:sz="4" w:space="0"/>
            </w:tcBorders>
            <w:vAlign w:val="center"/>
          </w:tcPr>
          <w:p w14:paraId="795A7225">
            <w:pPr>
              <w:widowControl w:val="0"/>
              <w:adjustRightInd w:val="0"/>
              <w:snapToGrid w:val="0"/>
              <w:spacing w:line="320" w:lineRule="exact"/>
              <w:jc w:val="both"/>
              <w:rPr>
                <w:rFonts w:eastAsia="方正仿宋_GBK"/>
                <w:snapToGrid w:val="0"/>
                <w:color w:val="auto"/>
                <w:sz w:val="18"/>
                <w:szCs w:val="18"/>
              </w:rPr>
            </w:pPr>
          </w:p>
        </w:tc>
        <w:tc>
          <w:tcPr>
            <w:tcW w:w="1701" w:type="dxa"/>
            <w:tcBorders>
              <w:top w:val="single" w:color="auto" w:sz="4" w:space="0"/>
              <w:left w:val="nil"/>
              <w:bottom w:val="single" w:color="auto" w:sz="4" w:space="0"/>
              <w:right w:val="single" w:color="auto" w:sz="4" w:space="0"/>
            </w:tcBorders>
            <w:vAlign w:val="center"/>
          </w:tcPr>
          <w:p w14:paraId="1DD9F858">
            <w:pPr>
              <w:widowControl w:val="0"/>
              <w:adjustRightInd w:val="0"/>
              <w:snapToGrid w:val="0"/>
              <w:spacing w:line="320" w:lineRule="exact"/>
              <w:jc w:val="both"/>
              <w:rPr>
                <w:rFonts w:eastAsia="方正仿宋_GBK"/>
                <w:snapToGrid w:val="0"/>
                <w:color w:val="auto"/>
                <w:sz w:val="18"/>
                <w:szCs w:val="18"/>
              </w:rPr>
            </w:pPr>
          </w:p>
        </w:tc>
        <w:tc>
          <w:tcPr>
            <w:tcW w:w="993" w:type="dxa"/>
            <w:tcBorders>
              <w:top w:val="single" w:color="auto" w:sz="4" w:space="0"/>
              <w:left w:val="nil"/>
              <w:bottom w:val="single" w:color="auto" w:sz="4" w:space="0"/>
              <w:right w:val="single" w:color="auto" w:sz="4" w:space="0"/>
            </w:tcBorders>
            <w:vAlign w:val="center"/>
          </w:tcPr>
          <w:p w14:paraId="4E190808">
            <w:pPr>
              <w:widowControl w:val="0"/>
              <w:adjustRightInd w:val="0"/>
              <w:snapToGrid w:val="0"/>
              <w:spacing w:line="320" w:lineRule="exact"/>
              <w:jc w:val="both"/>
              <w:rPr>
                <w:rFonts w:eastAsia="方正仿宋_GBK"/>
                <w:snapToGrid w:val="0"/>
                <w:color w:val="auto"/>
                <w:sz w:val="18"/>
                <w:szCs w:val="18"/>
              </w:rPr>
            </w:pPr>
          </w:p>
        </w:tc>
      </w:tr>
    </w:tbl>
    <w:p w14:paraId="4B58A103">
      <w:pPr>
        <w:widowControl w:val="0"/>
        <w:adjustRightInd w:val="0"/>
        <w:snapToGrid w:val="0"/>
        <w:spacing w:line="406" w:lineRule="exact"/>
        <w:jc w:val="both"/>
        <w:rPr>
          <w:rFonts w:eastAsia="方正仿宋_GBK"/>
          <w:snapToGrid w:val="0"/>
          <w:color w:val="auto"/>
          <w:sz w:val="28"/>
          <w:szCs w:val="28"/>
        </w:rPr>
      </w:pPr>
      <w:r>
        <w:rPr>
          <w:rFonts w:eastAsia="方正仿宋_GBK"/>
          <w:snapToGrid w:val="0"/>
          <w:color w:val="auto"/>
          <w:sz w:val="28"/>
          <w:szCs w:val="28"/>
        </w:rPr>
        <w:t xml:space="preserve"> </w:t>
      </w:r>
    </w:p>
    <w:p w14:paraId="2225D6E5">
      <w:pPr>
        <w:ind w:firstLine="5040" w:firstLineChars="1800"/>
        <w:rPr>
          <w:rFonts w:hint="eastAsia" w:ascii="仿宋" w:hAnsi="仿宋" w:eastAsia="仿宋"/>
          <w:b/>
          <w:bCs/>
          <w:color w:val="auto"/>
        </w:rPr>
      </w:pPr>
      <w:r>
        <w:rPr>
          <w:rFonts w:eastAsia="方正仿宋_GBK"/>
          <w:snapToGrid w:val="0"/>
          <w:color w:val="auto"/>
          <w:sz w:val="28"/>
          <w:szCs w:val="28"/>
        </w:rPr>
        <w:br w:type="page"/>
      </w:r>
    </w:p>
    <w:p w14:paraId="20B1CAC3">
      <w:pPr>
        <w:jc w:val="center"/>
        <w:rPr>
          <w:rFonts w:hint="eastAsia" w:ascii="仿宋" w:hAnsi="仿宋" w:eastAsia="仿宋"/>
          <w:b/>
          <w:bCs/>
          <w:color w:val="auto"/>
        </w:rPr>
      </w:pPr>
      <w:r>
        <w:rPr>
          <w:rFonts w:hint="eastAsia" w:ascii="仿宋" w:hAnsi="仿宋" w:eastAsia="仿宋"/>
          <w:b/>
          <w:bCs/>
          <w:color w:val="auto"/>
        </w:rPr>
        <w:t>三、候选个人合作情况</w:t>
      </w:r>
    </w:p>
    <w:tbl>
      <w:tblPr>
        <w:tblStyle w:val="18"/>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5"/>
      </w:tblGrid>
      <w:tr w14:paraId="0B5F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14095" w:type="dxa"/>
          </w:tcPr>
          <w:p w14:paraId="5FBC5DD3">
            <w:pPr>
              <w:widowControl w:val="0"/>
              <w:adjustRightInd w:val="0"/>
              <w:snapToGrid w:val="0"/>
              <w:spacing w:line="406" w:lineRule="exact"/>
              <w:jc w:val="center"/>
              <w:rPr>
                <w:rFonts w:eastAsia="方正黑体_GBK"/>
                <w:snapToGrid w:val="0"/>
                <w:color w:val="auto"/>
                <w:kern w:val="0"/>
                <w:sz w:val="28"/>
                <w:szCs w:val="28"/>
              </w:rPr>
            </w:pPr>
            <w:r>
              <w:rPr>
                <w:rFonts w:eastAsia="方正黑体_GBK"/>
                <w:snapToGrid w:val="0"/>
                <w:color w:val="auto"/>
                <w:kern w:val="0"/>
                <w:sz w:val="28"/>
                <w:szCs w:val="28"/>
              </w:rPr>
              <w:t>候选个人合作关系说明</w:t>
            </w:r>
          </w:p>
          <w:p w14:paraId="538382D9">
            <w:pPr>
              <w:ind w:firstLine="480"/>
              <w:rPr>
                <w:color w:val="auto"/>
              </w:rPr>
            </w:pPr>
            <w:r>
              <w:rPr>
                <w:color w:val="auto"/>
              </w:rPr>
              <w:t>本项目候选个人来自广西大学、华中科技大学、桂林电子科技大学、中国移动通信集团广西有限公司、烽火通信科技股份有限公司、武汉城市职业学院、湖北华中电力科技开发有限责任公司、润建股份有限公司等多家单位，自2018年起围绕低碳绿色通信网络关键技术与智能应用开展深度产学研用合作，形成了优势互补、分工明确的协同创新团队。</w:t>
            </w:r>
          </w:p>
          <w:p w14:paraId="5372B894">
            <w:pPr>
              <w:ind w:firstLine="480"/>
              <w:rPr>
                <w:color w:val="auto"/>
              </w:rPr>
            </w:pPr>
            <w:r>
              <w:rPr>
                <w:color w:val="auto"/>
              </w:rPr>
              <w:t>一、合作背景与历程</w:t>
            </w:r>
          </w:p>
          <w:p w14:paraId="50B34870">
            <w:pPr>
              <w:ind w:firstLine="480"/>
              <w:rPr>
                <w:color w:val="auto"/>
              </w:rPr>
            </w:pPr>
            <w:r>
              <w:rPr>
                <w:color w:val="auto"/>
              </w:rPr>
              <w:t>自2018年起，华中科技大学葛晓虎教授团队与广西大学、桂林电子科技大学、中国移动通信集团广西有限公司、烽火通信科技股份有限公司等单位建立长期合作关系，围绕智能无线网络能效优化、通信网络拓扑优化、室内定位技术、数据安全与人工智能等方向开展联合攻关。合作团队先后承担国家重点研发计划、国家自然科学基金重大项目、广西科技重大专项等多项国家级和省部级科研项目，共同研发了一批具有自主知识产权的核心技术，并在广西地区实现成果转化与产业化应用。</w:t>
            </w:r>
          </w:p>
          <w:p w14:paraId="73AC5A13">
            <w:pPr>
              <w:ind w:firstLine="480"/>
              <w:rPr>
                <w:color w:val="auto"/>
              </w:rPr>
            </w:pPr>
            <w:r>
              <w:rPr>
                <w:color w:val="auto"/>
              </w:rPr>
              <w:t>二、合作分工与人员组成</w:t>
            </w:r>
          </w:p>
          <w:p w14:paraId="2C8C583D">
            <w:pPr>
              <w:ind w:firstLine="480"/>
              <w:rPr>
                <w:color w:val="auto"/>
              </w:rPr>
            </w:pPr>
            <w:r>
              <w:rPr>
                <w:color w:val="auto"/>
              </w:rPr>
              <w:t>1. 华中科技大学葛晓虎教授团队作为技术总体单位，负责核心算法理论研究与关键技术攻关，团队成员包括葛晓虎、白琳等，主要负责无线网络能效优化算法、毫米波通信预编码技术、绿色网络碳效率优化等核心技术的研发。</w:t>
            </w:r>
          </w:p>
          <w:p w14:paraId="5D7BDB79">
            <w:pPr>
              <w:ind w:firstLine="480"/>
              <w:rPr>
                <w:color w:val="auto"/>
              </w:rPr>
            </w:pPr>
            <w:r>
              <w:rPr>
                <w:color w:val="auto"/>
              </w:rPr>
              <w:t>2. 广西大学团队负责通信网络系统集成与人工智能应用研究，联合张振荣教授团队开展预训练大模型训练与应用规范、职业院校人工智能数据处理安全规范等团体标准的制定工作。</w:t>
            </w:r>
          </w:p>
          <w:p w14:paraId="0C4439C0">
            <w:pPr>
              <w:ind w:firstLine="480"/>
              <w:rPr>
                <w:color w:val="auto"/>
              </w:rPr>
            </w:pPr>
            <w:r>
              <w:rPr>
                <w:color w:val="auto"/>
              </w:rPr>
              <w:t>3. 桂林电子科技大学团队负责室内定位技术与Wi-Fi数据优化技术研究，包括可见光定位、无线指纹数据库优化等方向，李晓记教授、罗丽燕副教授为核心骨干。</w:t>
            </w:r>
          </w:p>
          <w:p w14:paraId="06D58B5E">
            <w:pPr>
              <w:ind w:firstLine="480"/>
              <w:rPr>
                <w:color w:val="auto"/>
              </w:rPr>
            </w:pPr>
            <w:r>
              <w:rPr>
                <w:color w:val="auto"/>
              </w:rPr>
              <w:t>4. 中国移动通信集团广西有限公司负责应用场景验证与示范应用，将研发成果应用于广西移动现网环境，开展小区休眠控制、数据库安全态势感知等技术的试点验证与规模部署，钟磊、林亮等为核心技术骨干。</w:t>
            </w:r>
          </w:p>
          <w:p w14:paraId="353669A7">
            <w:pPr>
              <w:ind w:firstLine="480"/>
              <w:rPr>
                <w:color w:val="auto"/>
              </w:rPr>
            </w:pPr>
            <w:r>
              <w:rPr>
                <w:color w:val="auto"/>
              </w:rPr>
              <w:t>5. 烽火通信科技股份有限公司负责网络设备研发与国际专利布局，联合李澍等工程师开展网络拓扑优化、多层最短路径查找等技术的工程化实现与国际专利申请。</w:t>
            </w:r>
          </w:p>
          <w:p w14:paraId="33389FFA">
            <w:pPr>
              <w:ind w:firstLine="480"/>
              <w:rPr>
                <w:color w:val="auto"/>
              </w:rPr>
            </w:pPr>
            <w:r>
              <w:rPr>
                <w:color w:val="auto"/>
              </w:rPr>
              <w:t>6. 武汉城市职业学院、湖北华中电力科技开发有限责任公司、润建股份有限公司等单位负责技术应用验证与产业化推广。</w:t>
            </w:r>
          </w:p>
          <w:p w14:paraId="6A60FCFD">
            <w:pPr>
              <w:ind w:firstLine="480"/>
              <w:rPr>
                <w:color w:val="auto"/>
              </w:rPr>
            </w:pPr>
            <w:r>
              <w:rPr>
                <w:color w:val="auto"/>
              </w:rPr>
              <w:t>三、合作成果与知识产权</w:t>
            </w:r>
          </w:p>
          <w:p w14:paraId="4BF86FBF">
            <w:pPr>
              <w:ind w:firstLine="480"/>
              <w:rPr>
                <w:color w:val="auto"/>
              </w:rPr>
            </w:pPr>
            <w:r>
              <w:rPr>
                <w:color w:val="auto"/>
              </w:rPr>
              <w:t>通过多年合作，团队共同取得了一系列重要成果：获授权中国发明专利多项，包括“哑资源管理系统自动测试方法”、“一种毫米波MIMO-OFDM通信系统的混合预编码能效优化方法”、“一种基于平均场博弈的移动通信基站能效优化方法”等；获授权马来西亚国际发明专利1项；牵头制定广西电子学会团体标准2项。相关成果在国内现网大规模应用，并在一带一路国家实现产品和技术成套出口。</w:t>
            </w:r>
          </w:p>
          <w:p w14:paraId="779377F1">
            <w:pPr>
              <w:rPr>
                <w:color w:val="auto"/>
              </w:rPr>
            </w:pPr>
          </w:p>
          <w:p w14:paraId="00742CDD">
            <w:pPr>
              <w:ind w:firstLine="480"/>
              <w:rPr>
                <w:color w:val="auto"/>
              </w:rPr>
            </w:pPr>
            <w:r>
              <w:rPr>
                <w:color w:val="auto"/>
              </w:rPr>
              <w:t>四、合作机制与保障</w:t>
            </w:r>
          </w:p>
          <w:p w14:paraId="4ED318B5">
            <w:pPr>
              <w:ind w:firstLine="480"/>
              <w:rPr>
                <w:color w:val="auto"/>
              </w:rPr>
            </w:pPr>
            <w:r>
              <w:rPr>
                <w:color w:val="auto"/>
              </w:rPr>
              <w:t>各候选个人之间建立了稳定的产学研合作机制，通过定期技术交流、联合项目攻关、人才联合培养、研究生联合指导等方式持续深化合作。华中科技大学提供理论与算法支撑，广西本地高校提供技术应用与人才支撑，中国移动广西公司提供应用场景与产业验证，烽火通信提供设备研发与国际布局，形成了“基础研究—技术研发—成果转化—规模应用”的完整创新链条。</w:t>
            </w:r>
          </w:p>
          <w:p w14:paraId="22D2B54F">
            <w:pPr>
              <w:rPr>
                <w:color w:val="auto"/>
              </w:rPr>
            </w:pPr>
          </w:p>
          <w:p w14:paraId="727B495A">
            <w:pPr>
              <w:rPr>
                <w:color w:val="auto"/>
              </w:rPr>
            </w:pPr>
            <w:r>
              <w:rPr>
                <w:color w:val="auto"/>
              </w:rPr>
              <w:t>以上合作关系情况详见附表。</w:t>
            </w:r>
          </w:p>
        </w:tc>
      </w:tr>
    </w:tbl>
    <w:p w14:paraId="798F0721">
      <w:pPr>
        <w:adjustRightInd w:val="0"/>
        <w:snapToGrid w:val="0"/>
        <w:spacing w:line="406" w:lineRule="exact"/>
        <w:jc w:val="center"/>
        <w:rPr>
          <w:rFonts w:hint="eastAsia" w:ascii="黑体" w:hAnsi="黑体" w:eastAsia="黑体"/>
          <w:snapToGrid w:val="0"/>
          <w:color w:val="auto"/>
          <w:sz w:val="28"/>
          <w:szCs w:val="28"/>
        </w:rPr>
      </w:pPr>
    </w:p>
    <w:p w14:paraId="7F117F6F">
      <w:pPr>
        <w:adjustRightInd w:val="0"/>
        <w:snapToGrid w:val="0"/>
        <w:spacing w:line="406" w:lineRule="exact"/>
        <w:jc w:val="center"/>
        <w:rPr>
          <w:rFonts w:hint="eastAsia" w:ascii="仿宋" w:hAnsi="仿宋" w:eastAsia="仿宋"/>
          <w:b/>
          <w:snapToGrid w:val="0"/>
          <w:color w:val="auto"/>
          <w:szCs w:val="32"/>
        </w:rPr>
      </w:pPr>
      <w:r>
        <w:rPr>
          <w:rFonts w:hint="eastAsia" w:ascii="仿宋" w:hAnsi="仿宋" w:eastAsia="仿宋"/>
          <w:b/>
          <w:snapToGrid w:val="0"/>
          <w:color w:val="auto"/>
          <w:szCs w:val="32"/>
        </w:rPr>
        <w:t>附表：候选个人合作情况汇总表</w:t>
      </w:r>
    </w:p>
    <w:tbl>
      <w:tblPr>
        <w:tblStyle w:val="7"/>
        <w:tblW w:w="13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3"/>
        <w:gridCol w:w="1701"/>
        <w:gridCol w:w="2268"/>
        <w:gridCol w:w="1275"/>
        <w:gridCol w:w="5387"/>
        <w:gridCol w:w="1134"/>
        <w:gridCol w:w="970"/>
      </w:tblGrid>
      <w:tr w14:paraId="0C49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5D52CEAB">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序号</w:t>
            </w:r>
          </w:p>
        </w:tc>
        <w:tc>
          <w:tcPr>
            <w:tcW w:w="1701" w:type="dxa"/>
            <w:tcBorders>
              <w:top w:val="single" w:color="000000" w:sz="4" w:space="0"/>
              <w:left w:val="nil"/>
              <w:bottom w:val="single" w:color="000000" w:sz="4" w:space="0"/>
              <w:right w:val="single" w:color="000000" w:sz="4" w:space="0"/>
            </w:tcBorders>
            <w:vAlign w:val="center"/>
          </w:tcPr>
          <w:p w14:paraId="4CCF4E03">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合作方式</w:t>
            </w:r>
          </w:p>
        </w:tc>
        <w:tc>
          <w:tcPr>
            <w:tcW w:w="2268" w:type="dxa"/>
            <w:tcBorders>
              <w:top w:val="single" w:color="000000" w:sz="4" w:space="0"/>
              <w:left w:val="nil"/>
              <w:bottom w:val="single" w:color="000000" w:sz="4" w:space="0"/>
              <w:right w:val="single" w:color="000000" w:sz="4" w:space="0"/>
            </w:tcBorders>
            <w:vAlign w:val="center"/>
          </w:tcPr>
          <w:p w14:paraId="47F0A567">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合作者</w:t>
            </w:r>
          </w:p>
        </w:tc>
        <w:tc>
          <w:tcPr>
            <w:tcW w:w="1275" w:type="dxa"/>
            <w:tcBorders>
              <w:top w:val="single" w:color="000000" w:sz="4" w:space="0"/>
              <w:left w:val="nil"/>
              <w:bottom w:val="single" w:color="000000" w:sz="4" w:space="0"/>
              <w:right w:val="single" w:color="000000" w:sz="4" w:space="0"/>
            </w:tcBorders>
            <w:vAlign w:val="center"/>
          </w:tcPr>
          <w:p w14:paraId="760631DD">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合作时间</w:t>
            </w:r>
          </w:p>
        </w:tc>
        <w:tc>
          <w:tcPr>
            <w:tcW w:w="5387" w:type="dxa"/>
            <w:tcBorders>
              <w:top w:val="single" w:color="000000" w:sz="4" w:space="0"/>
              <w:left w:val="nil"/>
              <w:bottom w:val="single" w:color="000000" w:sz="4" w:space="0"/>
              <w:right w:val="single" w:color="000000" w:sz="4" w:space="0"/>
            </w:tcBorders>
            <w:vAlign w:val="center"/>
          </w:tcPr>
          <w:p w14:paraId="66B3D622">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合作成果</w:t>
            </w:r>
          </w:p>
        </w:tc>
        <w:tc>
          <w:tcPr>
            <w:tcW w:w="1134" w:type="dxa"/>
            <w:tcBorders>
              <w:top w:val="single" w:color="000000" w:sz="4" w:space="0"/>
              <w:left w:val="nil"/>
              <w:bottom w:val="single" w:color="000000" w:sz="4" w:space="0"/>
              <w:right w:val="single" w:color="000000" w:sz="4" w:space="0"/>
            </w:tcBorders>
            <w:vAlign w:val="center"/>
          </w:tcPr>
          <w:p w14:paraId="1C2AB118">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附件编号</w:t>
            </w:r>
          </w:p>
        </w:tc>
        <w:tc>
          <w:tcPr>
            <w:tcW w:w="970" w:type="dxa"/>
            <w:tcBorders>
              <w:top w:val="single" w:color="000000" w:sz="4" w:space="0"/>
              <w:left w:val="nil"/>
              <w:bottom w:val="single" w:color="000000" w:sz="4" w:space="0"/>
              <w:right w:val="single" w:color="000000" w:sz="4" w:space="0"/>
            </w:tcBorders>
            <w:vAlign w:val="center"/>
          </w:tcPr>
          <w:p w14:paraId="2CD897EC">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备注</w:t>
            </w:r>
          </w:p>
        </w:tc>
      </w:tr>
      <w:tr w14:paraId="69E43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689FB6F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w:t>
            </w:r>
          </w:p>
        </w:tc>
        <w:tc>
          <w:tcPr>
            <w:tcW w:w="1701" w:type="dxa"/>
            <w:tcBorders>
              <w:top w:val="single" w:color="000000" w:sz="4" w:space="0"/>
              <w:left w:val="nil"/>
              <w:bottom w:val="single" w:color="000000" w:sz="4" w:space="0"/>
              <w:right w:val="single" w:color="000000" w:sz="4" w:space="0"/>
            </w:tcBorders>
            <w:vAlign w:val="center"/>
          </w:tcPr>
          <w:p w14:paraId="523BF62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联合技术攻关</w:t>
            </w:r>
          </w:p>
        </w:tc>
        <w:tc>
          <w:tcPr>
            <w:tcW w:w="2268" w:type="dxa"/>
            <w:tcBorders>
              <w:top w:val="single" w:color="000000" w:sz="4" w:space="0"/>
              <w:left w:val="nil"/>
              <w:bottom w:val="single" w:color="000000" w:sz="4" w:space="0"/>
              <w:right w:val="single" w:color="000000" w:sz="4" w:space="0"/>
            </w:tcBorders>
            <w:vAlign w:val="center"/>
          </w:tcPr>
          <w:p w14:paraId="615E313E">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葛晓虎（华中科技大学）</w:t>
            </w:r>
            <w:r>
              <w:rPr>
                <w:color w:val="auto"/>
              </w:rPr>
              <w:br w:type="textWrapping"/>
            </w:r>
            <w:r>
              <w:rPr>
                <w:color w:val="auto"/>
              </w:rPr>
              <w:t>白琳（华中科技大学/广西大学）</w:t>
            </w:r>
          </w:p>
        </w:tc>
        <w:tc>
          <w:tcPr>
            <w:tcW w:w="1275" w:type="dxa"/>
            <w:tcBorders>
              <w:top w:val="single" w:color="000000" w:sz="4" w:space="0"/>
              <w:left w:val="nil"/>
              <w:bottom w:val="single" w:color="000000" w:sz="4" w:space="0"/>
              <w:right w:val="single" w:color="000000" w:sz="4" w:space="0"/>
            </w:tcBorders>
            <w:vAlign w:val="center"/>
          </w:tcPr>
          <w:p w14:paraId="75940EE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4C0BDB8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低碳绿色通信网络能效优化关键技术研究，包括毫米波MIMO预编码、基站能效优化、碳效率优化等</w:t>
            </w:r>
          </w:p>
        </w:tc>
        <w:tc>
          <w:tcPr>
            <w:tcW w:w="1134" w:type="dxa"/>
            <w:tcBorders>
              <w:top w:val="single" w:color="000000" w:sz="4" w:space="0"/>
              <w:left w:val="nil"/>
              <w:bottom w:val="single" w:color="000000" w:sz="4" w:space="0"/>
              <w:right w:val="single" w:color="000000" w:sz="4" w:space="0"/>
            </w:tcBorders>
            <w:vAlign w:val="center"/>
          </w:tcPr>
          <w:p w14:paraId="7DF0B0D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1-2, 1-3, 1-10</w:t>
            </w:r>
          </w:p>
        </w:tc>
        <w:tc>
          <w:tcPr>
            <w:tcW w:w="970" w:type="dxa"/>
            <w:tcBorders>
              <w:top w:val="single" w:color="000000" w:sz="4" w:space="0"/>
              <w:left w:val="nil"/>
              <w:bottom w:val="single" w:color="000000" w:sz="4" w:space="0"/>
              <w:right w:val="single" w:color="000000" w:sz="4" w:space="0"/>
            </w:tcBorders>
            <w:vAlign w:val="center"/>
          </w:tcPr>
          <w:p w14:paraId="15BC0A4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核心技术联合研发</w:t>
            </w:r>
          </w:p>
        </w:tc>
      </w:tr>
      <w:tr w14:paraId="6839A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74316CF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w:t>
            </w:r>
          </w:p>
        </w:tc>
        <w:tc>
          <w:tcPr>
            <w:tcW w:w="1701" w:type="dxa"/>
            <w:tcBorders>
              <w:top w:val="single" w:color="000000" w:sz="4" w:space="0"/>
              <w:left w:val="nil"/>
              <w:bottom w:val="single" w:color="000000" w:sz="4" w:space="0"/>
              <w:right w:val="single" w:color="000000" w:sz="4" w:space="0"/>
            </w:tcBorders>
            <w:vAlign w:val="center"/>
          </w:tcPr>
          <w:p w14:paraId="272EBAF8">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标准制定</w:t>
            </w:r>
          </w:p>
        </w:tc>
        <w:tc>
          <w:tcPr>
            <w:tcW w:w="2268" w:type="dxa"/>
            <w:tcBorders>
              <w:top w:val="single" w:color="000000" w:sz="4" w:space="0"/>
              <w:left w:val="nil"/>
              <w:bottom w:val="single" w:color="000000" w:sz="4" w:space="0"/>
              <w:right w:val="single" w:color="000000" w:sz="4" w:space="0"/>
            </w:tcBorders>
            <w:vAlign w:val="center"/>
          </w:tcPr>
          <w:p w14:paraId="46C77138">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白琳（广西大学）</w:t>
            </w:r>
            <w:r>
              <w:rPr>
                <w:color w:val="auto"/>
              </w:rPr>
              <w:br w:type="textWrapping"/>
            </w:r>
            <w:r>
              <w:rPr>
                <w:color w:val="auto"/>
              </w:rPr>
              <w:t>张振荣（广西大学）</w:t>
            </w:r>
            <w:r>
              <w:rPr>
                <w:color w:val="auto"/>
              </w:rPr>
              <w:br w:type="textWrapping"/>
            </w:r>
            <w:r>
              <w:rPr>
                <w:color w:val="auto"/>
              </w:rPr>
              <w:t>钟磊（中国移动广西公司）</w:t>
            </w:r>
          </w:p>
        </w:tc>
        <w:tc>
          <w:tcPr>
            <w:tcW w:w="1275" w:type="dxa"/>
            <w:tcBorders>
              <w:top w:val="single" w:color="000000" w:sz="4" w:space="0"/>
              <w:left w:val="nil"/>
              <w:bottom w:val="single" w:color="000000" w:sz="4" w:space="0"/>
              <w:right w:val="single" w:color="000000" w:sz="4" w:space="0"/>
            </w:tcBorders>
            <w:vAlign w:val="center"/>
          </w:tcPr>
          <w:p w14:paraId="6C4F42D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37C50A1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牵头制定广西电子学会团体标准《人工智能 预训练大模型训练与应用规范》（T/GXIE 011-2025）、《职业院校人工智能数据处理安全规范》（T/GXIE 021-2025）</w:t>
            </w:r>
          </w:p>
        </w:tc>
        <w:tc>
          <w:tcPr>
            <w:tcW w:w="1134" w:type="dxa"/>
            <w:tcBorders>
              <w:top w:val="single" w:color="000000" w:sz="4" w:space="0"/>
              <w:left w:val="nil"/>
              <w:bottom w:val="single" w:color="000000" w:sz="4" w:space="0"/>
              <w:right w:val="single" w:color="000000" w:sz="4" w:space="0"/>
            </w:tcBorders>
            <w:vAlign w:val="center"/>
          </w:tcPr>
          <w:p w14:paraId="1D215DF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1-8, 1-12</w:t>
            </w:r>
          </w:p>
        </w:tc>
        <w:tc>
          <w:tcPr>
            <w:tcW w:w="970" w:type="dxa"/>
            <w:tcBorders>
              <w:top w:val="single" w:color="000000" w:sz="4" w:space="0"/>
              <w:left w:val="nil"/>
              <w:bottom w:val="single" w:color="000000" w:sz="4" w:space="0"/>
              <w:right w:val="single" w:color="000000" w:sz="4" w:space="0"/>
            </w:tcBorders>
            <w:vAlign w:val="center"/>
          </w:tcPr>
          <w:p w14:paraId="241F84E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团体标准联合制定</w:t>
            </w:r>
          </w:p>
        </w:tc>
      </w:tr>
      <w:tr w14:paraId="34341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05E2611C">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3</w:t>
            </w:r>
          </w:p>
        </w:tc>
        <w:tc>
          <w:tcPr>
            <w:tcW w:w="1701" w:type="dxa"/>
            <w:tcBorders>
              <w:top w:val="single" w:color="000000" w:sz="4" w:space="0"/>
              <w:left w:val="nil"/>
              <w:bottom w:val="single" w:color="000000" w:sz="4" w:space="0"/>
              <w:right w:val="single" w:color="000000" w:sz="4" w:space="0"/>
            </w:tcBorders>
            <w:vAlign w:val="center"/>
          </w:tcPr>
          <w:p w14:paraId="58B4160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校企合作</w:t>
            </w:r>
            <w:r>
              <w:rPr>
                <w:color w:val="auto"/>
              </w:rPr>
              <w:br w:type="textWrapping"/>
            </w:r>
            <w:r>
              <w:rPr>
                <w:color w:val="auto"/>
              </w:rPr>
              <w:t>技术应用</w:t>
            </w:r>
          </w:p>
        </w:tc>
        <w:tc>
          <w:tcPr>
            <w:tcW w:w="2268" w:type="dxa"/>
            <w:tcBorders>
              <w:top w:val="single" w:color="000000" w:sz="4" w:space="0"/>
              <w:left w:val="nil"/>
              <w:bottom w:val="single" w:color="000000" w:sz="4" w:space="0"/>
              <w:right w:val="single" w:color="000000" w:sz="4" w:space="0"/>
            </w:tcBorders>
            <w:vAlign w:val="center"/>
          </w:tcPr>
          <w:p w14:paraId="0FBF21B5">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李晓记（桂林电子科技大学）</w:t>
            </w:r>
            <w:r>
              <w:rPr>
                <w:color w:val="auto"/>
              </w:rPr>
              <w:br w:type="textWrapping"/>
            </w:r>
            <w:r>
              <w:rPr>
                <w:color w:val="auto"/>
              </w:rPr>
              <w:t>罗丽燕（桂林电子科技大学）</w:t>
            </w:r>
          </w:p>
        </w:tc>
        <w:tc>
          <w:tcPr>
            <w:tcW w:w="1275" w:type="dxa"/>
            <w:tcBorders>
              <w:top w:val="single" w:color="000000" w:sz="4" w:space="0"/>
              <w:left w:val="nil"/>
              <w:bottom w:val="single" w:color="000000" w:sz="4" w:space="0"/>
              <w:right w:val="single" w:color="000000" w:sz="4" w:space="0"/>
            </w:tcBorders>
            <w:vAlign w:val="center"/>
          </w:tcPr>
          <w:p w14:paraId="327CD194">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7980F6C6">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室内可见光定位技术、Wi-Fi样本数据优化方法研究，获授权发明专利2项</w:t>
            </w:r>
          </w:p>
        </w:tc>
        <w:tc>
          <w:tcPr>
            <w:tcW w:w="1134" w:type="dxa"/>
            <w:tcBorders>
              <w:top w:val="single" w:color="000000" w:sz="4" w:space="0"/>
              <w:left w:val="nil"/>
              <w:bottom w:val="single" w:color="000000" w:sz="4" w:space="0"/>
              <w:right w:val="single" w:color="000000" w:sz="4" w:space="0"/>
            </w:tcBorders>
            <w:vAlign w:val="center"/>
          </w:tcPr>
          <w:p w14:paraId="63880C3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1-4, 1-5</w:t>
            </w:r>
          </w:p>
        </w:tc>
        <w:tc>
          <w:tcPr>
            <w:tcW w:w="970" w:type="dxa"/>
            <w:tcBorders>
              <w:top w:val="single" w:color="000000" w:sz="4" w:space="0"/>
              <w:left w:val="nil"/>
              <w:bottom w:val="single" w:color="000000" w:sz="4" w:space="0"/>
              <w:right w:val="single" w:color="000000" w:sz="4" w:space="0"/>
            </w:tcBorders>
            <w:vAlign w:val="center"/>
          </w:tcPr>
          <w:p w14:paraId="754A0879">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定位技术联合研发</w:t>
            </w:r>
          </w:p>
        </w:tc>
      </w:tr>
      <w:tr w14:paraId="26D69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4C652DFB">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4</w:t>
            </w:r>
          </w:p>
        </w:tc>
        <w:tc>
          <w:tcPr>
            <w:tcW w:w="1701" w:type="dxa"/>
            <w:tcBorders>
              <w:top w:val="single" w:color="000000" w:sz="4" w:space="0"/>
              <w:left w:val="nil"/>
              <w:bottom w:val="single" w:color="000000" w:sz="4" w:space="0"/>
              <w:right w:val="single" w:color="000000" w:sz="4" w:space="0"/>
            </w:tcBorders>
            <w:vAlign w:val="center"/>
          </w:tcPr>
          <w:p w14:paraId="60A1E0BB">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校企合作</w:t>
            </w:r>
            <w:r>
              <w:rPr>
                <w:color w:val="auto"/>
              </w:rPr>
              <w:br w:type="textWrapping"/>
            </w:r>
            <w:r>
              <w:rPr>
                <w:color w:val="auto"/>
              </w:rPr>
              <w:t>成果转化</w:t>
            </w:r>
          </w:p>
        </w:tc>
        <w:tc>
          <w:tcPr>
            <w:tcW w:w="2268" w:type="dxa"/>
            <w:tcBorders>
              <w:top w:val="single" w:color="000000" w:sz="4" w:space="0"/>
              <w:left w:val="nil"/>
              <w:bottom w:val="single" w:color="000000" w:sz="4" w:space="0"/>
              <w:right w:val="single" w:color="000000" w:sz="4" w:space="0"/>
            </w:tcBorders>
            <w:vAlign w:val="center"/>
          </w:tcPr>
          <w:p w14:paraId="3D374B03">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钟磊（中国移动广西公司）</w:t>
            </w:r>
            <w:r>
              <w:rPr>
                <w:color w:val="auto"/>
              </w:rPr>
              <w:br w:type="textWrapping"/>
            </w:r>
            <w:r>
              <w:rPr>
                <w:color w:val="auto"/>
              </w:rPr>
              <w:t>林亮（中国移动广西公司）</w:t>
            </w:r>
          </w:p>
        </w:tc>
        <w:tc>
          <w:tcPr>
            <w:tcW w:w="1275" w:type="dxa"/>
            <w:tcBorders>
              <w:top w:val="single" w:color="000000" w:sz="4" w:space="0"/>
              <w:left w:val="nil"/>
              <w:bottom w:val="single" w:color="000000" w:sz="4" w:space="0"/>
              <w:right w:val="single" w:color="000000" w:sz="4" w:space="0"/>
            </w:tcBorders>
            <w:vAlign w:val="center"/>
          </w:tcPr>
          <w:p w14:paraId="0D458D35">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4046D8E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数据库安全态势感知系统、小区休眠控制方法研发与现网应用，获授权发明专利2项</w:t>
            </w:r>
          </w:p>
        </w:tc>
        <w:tc>
          <w:tcPr>
            <w:tcW w:w="1134" w:type="dxa"/>
            <w:tcBorders>
              <w:top w:val="single" w:color="000000" w:sz="4" w:space="0"/>
              <w:left w:val="nil"/>
              <w:bottom w:val="single" w:color="000000" w:sz="4" w:space="0"/>
              <w:right w:val="single" w:color="000000" w:sz="4" w:space="0"/>
            </w:tcBorders>
            <w:vAlign w:val="center"/>
          </w:tcPr>
          <w:p w14:paraId="78FD28E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1-6, 1-7</w:t>
            </w:r>
          </w:p>
        </w:tc>
        <w:tc>
          <w:tcPr>
            <w:tcW w:w="970" w:type="dxa"/>
            <w:tcBorders>
              <w:top w:val="single" w:color="000000" w:sz="4" w:space="0"/>
              <w:left w:val="nil"/>
              <w:bottom w:val="single" w:color="000000" w:sz="4" w:space="0"/>
              <w:right w:val="single" w:color="000000" w:sz="4" w:space="0"/>
            </w:tcBorders>
            <w:vAlign w:val="center"/>
          </w:tcPr>
          <w:p w14:paraId="23163AB3">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现网应用与示范</w:t>
            </w:r>
          </w:p>
        </w:tc>
      </w:tr>
      <w:tr w14:paraId="3DDEA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121299A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5</w:t>
            </w:r>
          </w:p>
        </w:tc>
        <w:tc>
          <w:tcPr>
            <w:tcW w:w="1701" w:type="dxa"/>
            <w:tcBorders>
              <w:top w:val="single" w:color="000000" w:sz="4" w:space="0"/>
              <w:left w:val="nil"/>
              <w:bottom w:val="single" w:color="000000" w:sz="4" w:space="0"/>
              <w:right w:val="single" w:color="000000" w:sz="4" w:space="0"/>
            </w:tcBorders>
            <w:vAlign w:val="center"/>
          </w:tcPr>
          <w:p w14:paraId="6E9C3F0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国际专利</w:t>
            </w:r>
          </w:p>
        </w:tc>
        <w:tc>
          <w:tcPr>
            <w:tcW w:w="2268" w:type="dxa"/>
            <w:tcBorders>
              <w:top w:val="single" w:color="000000" w:sz="4" w:space="0"/>
              <w:left w:val="nil"/>
              <w:bottom w:val="single" w:color="000000" w:sz="4" w:space="0"/>
              <w:right w:val="single" w:color="000000" w:sz="4" w:space="0"/>
            </w:tcBorders>
            <w:vAlign w:val="center"/>
          </w:tcPr>
          <w:p w14:paraId="7B29E5D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李澍（烽火通信科技股份有限公司）</w:t>
            </w:r>
            <w:r>
              <w:rPr>
                <w:color w:val="auto"/>
              </w:rPr>
              <w:br w:type="textWrapping"/>
            </w:r>
            <w:r>
              <w:rPr>
                <w:color w:val="auto"/>
              </w:rPr>
              <w:t>叶俊良（烽火通信）</w:t>
            </w:r>
            <w:r>
              <w:rPr>
                <w:color w:val="auto"/>
              </w:rPr>
              <w:br w:type="textWrapping"/>
            </w:r>
            <w:r>
              <w:rPr>
                <w:color w:val="auto"/>
              </w:rPr>
              <w:t>王雪峰（</w:t>
            </w:r>
            <w:r>
              <w:rPr>
                <w:rFonts w:hint="eastAsia"/>
                <w:color w:val="auto"/>
                <w:lang w:val="en-US" w:eastAsia="zh-CN"/>
              </w:rPr>
              <w:t>广西大学</w:t>
            </w:r>
            <w:r>
              <w:rPr>
                <w:color w:val="auto"/>
              </w:rPr>
              <w:t>）</w:t>
            </w:r>
            <w:r>
              <w:rPr>
                <w:color w:val="auto"/>
              </w:rPr>
              <w:br w:type="textWrapping"/>
            </w:r>
            <w:r>
              <w:rPr>
                <w:color w:val="auto"/>
              </w:rPr>
              <w:t>万晖（烽火通信）</w:t>
            </w:r>
            <w:r>
              <w:rPr>
                <w:color w:val="auto"/>
              </w:rPr>
              <w:br w:type="textWrapping"/>
            </w:r>
            <w:r>
              <w:rPr>
                <w:color w:val="auto"/>
              </w:rPr>
              <w:t>禹诚（武汉城市职业学院）</w:t>
            </w:r>
            <w:r>
              <w:rPr>
                <w:color w:val="auto"/>
              </w:rPr>
              <w:br w:type="textWrapping"/>
            </w:r>
            <w:r>
              <w:rPr>
                <w:color w:val="auto"/>
              </w:rPr>
              <w:t>杨庭（武汉城市职业学院）</w:t>
            </w:r>
          </w:p>
        </w:tc>
        <w:tc>
          <w:tcPr>
            <w:tcW w:w="1275" w:type="dxa"/>
            <w:tcBorders>
              <w:top w:val="single" w:color="000000" w:sz="4" w:space="0"/>
              <w:left w:val="nil"/>
              <w:bottom w:val="single" w:color="000000" w:sz="4" w:space="0"/>
              <w:right w:val="single" w:color="000000" w:sz="4" w:space="0"/>
            </w:tcBorders>
            <w:vAlign w:val="center"/>
          </w:tcPr>
          <w:p w14:paraId="1162AF3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11E78EB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网络拓扑优化、多层最短路径查找技术研究，获中国发明专利和马来西亚国际专利各1项</w:t>
            </w:r>
          </w:p>
        </w:tc>
        <w:tc>
          <w:tcPr>
            <w:tcW w:w="1134" w:type="dxa"/>
            <w:tcBorders>
              <w:top w:val="single" w:color="000000" w:sz="4" w:space="0"/>
              <w:left w:val="nil"/>
              <w:bottom w:val="single" w:color="000000" w:sz="4" w:space="0"/>
              <w:right w:val="single" w:color="000000" w:sz="4" w:space="0"/>
            </w:tcBorders>
            <w:vAlign w:val="center"/>
          </w:tcPr>
          <w:p w14:paraId="7B59F65C">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1-1, 1-9</w:t>
            </w:r>
          </w:p>
        </w:tc>
        <w:tc>
          <w:tcPr>
            <w:tcW w:w="970" w:type="dxa"/>
            <w:tcBorders>
              <w:top w:val="single" w:color="000000" w:sz="4" w:space="0"/>
              <w:left w:val="nil"/>
              <w:bottom w:val="single" w:color="000000" w:sz="4" w:space="0"/>
              <w:right w:val="single" w:color="000000" w:sz="4" w:space="0"/>
            </w:tcBorders>
            <w:vAlign w:val="center"/>
          </w:tcPr>
          <w:p w14:paraId="454D345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国际专利联合布局</w:t>
            </w:r>
          </w:p>
        </w:tc>
      </w:tr>
    </w:tbl>
    <w:p w14:paraId="20CEFAC9">
      <w:pPr>
        <w:rPr>
          <w:rFonts w:eastAsia="宋体"/>
          <w:color w:val="auto"/>
        </w:rPr>
      </w:pPr>
    </w:p>
    <w:p w14:paraId="3F77AE16">
      <w:pPr>
        <w:spacing w:line="240" w:lineRule="auto"/>
        <w:rPr>
          <w:color w:val="auto"/>
        </w:rPr>
      </w:pPr>
    </w:p>
    <w:sectPr>
      <w:pgSz w:w="16838" w:h="11906" w:orient="landscape"/>
      <w:pgMar w:top="567" w:right="1440" w:bottom="426"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525A40-3EAF-46AB-95A5-F92164D33F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2" w:fontKey="{B082F41E-ACC8-4520-8FA5-CD03355DEA79}"/>
  </w:font>
  <w:font w:name="方正小标宋简体">
    <w:panose1 w:val="02000000000000000000"/>
    <w:charset w:val="86"/>
    <w:family w:val="script"/>
    <w:pitch w:val="default"/>
    <w:sig w:usb0="A00002BF" w:usb1="184F6CFA" w:usb2="00000012" w:usb3="00000000" w:csb0="00040001" w:csb1="00000000"/>
    <w:embedRegular r:id="rId3" w:fontKey="{7A807B0E-CE7B-4E0E-83F8-608B33D37FBF}"/>
  </w:font>
  <w:font w:name="方正黑体_GBK">
    <w:panose1 w:val="02000000000000000000"/>
    <w:charset w:val="86"/>
    <w:family w:val="script"/>
    <w:pitch w:val="default"/>
    <w:sig w:usb0="A00002BF" w:usb1="38CF7CFA" w:usb2="00082016" w:usb3="00000000" w:csb0="00040001" w:csb1="00000000"/>
    <w:embedRegular r:id="rId4" w:fontKey="{0500785F-C804-4600-A33B-AAB62191804A}"/>
  </w:font>
  <w:font w:name="方正仿宋_GBK">
    <w:panose1 w:val="02000000000000000000"/>
    <w:charset w:val="86"/>
    <w:family w:val="script"/>
    <w:pitch w:val="default"/>
    <w:sig w:usb0="A00002BF" w:usb1="38CF7CFA" w:usb2="00082016" w:usb3="00000000" w:csb0="00040001" w:csb1="00000000"/>
    <w:embedRegular r:id="rId5" w:fontKey="{1AAA4EC6-3FDC-4FD6-BE1F-C817DA31522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YwN2VmMzdmZDgwNmM3M2IwYzlmN2M1OTAzY2Y0MjQifQ=="/>
  </w:docVars>
  <w:rsids>
    <w:rsidRoot w:val="00172A27"/>
    <w:rsid w:val="00007C5F"/>
    <w:rsid w:val="0001213B"/>
    <w:rsid w:val="00015DCE"/>
    <w:rsid w:val="00071F43"/>
    <w:rsid w:val="00076197"/>
    <w:rsid w:val="000B1EB8"/>
    <w:rsid w:val="000B2D28"/>
    <w:rsid w:val="000E5D61"/>
    <w:rsid w:val="000F1E71"/>
    <w:rsid w:val="00101DBC"/>
    <w:rsid w:val="001109B0"/>
    <w:rsid w:val="00110F63"/>
    <w:rsid w:val="00114A60"/>
    <w:rsid w:val="00124F9A"/>
    <w:rsid w:val="00127E24"/>
    <w:rsid w:val="00156902"/>
    <w:rsid w:val="0016671D"/>
    <w:rsid w:val="0017193A"/>
    <w:rsid w:val="00172A27"/>
    <w:rsid w:val="001838F4"/>
    <w:rsid w:val="001878CE"/>
    <w:rsid w:val="001920E4"/>
    <w:rsid w:val="001A56C9"/>
    <w:rsid w:val="001A67D7"/>
    <w:rsid w:val="001C340D"/>
    <w:rsid w:val="001C78E7"/>
    <w:rsid w:val="001D441B"/>
    <w:rsid w:val="001D57EA"/>
    <w:rsid w:val="001D7171"/>
    <w:rsid w:val="001E3914"/>
    <w:rsid w:val="00211BD1"/>
    <w:rsid w:val="0021555F"/>
    <w:rsid w:val="00237CD1"/>
    <w:rsid w:val="00243433"/>
    <w:rsid w:val="00246694"/>
    <w:rsid w:val="002645F4"/>
    <w:rsid w:val="002705A4"/>
    <w:rsid w:val="00275C62"/>
    <w:rsid w:val="002812F9"/>
    <w:rsid w:val="00283677"/>
    <w:rsid w:val="002B0E0A"/>
    <w:rsid w:val="002B6196"/>
    <w:rsid w:val="002B6A01"/>
    <w:rsid w:val="002D21F2"/>
    <w:rsid w:val="002D7549"/>
    <w:rsid w:val="002E3EA8"/>
    <w:rsid w:val="002F06A4"/>
    <w:rsid w:val="0030091B"/>
    <w:rsid w:val="00322B5B"/>
    <w:rsid w:val="0033411A"/>
    <w:rsid w:val="00346597"/>
    <w:rsid w:val="0035043F"/>
    <w:rsid w:val="00361BCE"/>
    <w:rsid w:val="00364B84"/>
    <w:rsid w:val="003A097F"/>
    <w:rsid w:val="003A2A5A"/>
    <w:rsid w:val="003C3395"/>
    <w:rsid w:val="003E0C8F"/>
    <w:rsid w:val="00402206"/>
    <w:rsid w:val="00407335"/>
    <w:rsid w:val="00407AC9"/>
    <w:rsid w:val="0042244C"/>
    <w:rsid w:val="00424C5D"/>
    <w:rsid w:val="00427DAE"/>
    <w:rsid w:val="004508A1"/>
    <w:rsid w:val="00454E1A"/>
    <w:rsid w:val="00476D19"/>
    <w:rsid w:val="004B0AB0"/>
    <w:rsid w:val="004C5A9F"/>
    <w:rsid w:val="004C5BBF"/>
    <w:rsid w:val="004D12C0"/>
    <w:rsid w:val="005016CF"/>
    <w:rsid w:val="00502C6E"/>
    <w:rsid w:val="00533698"/>
    <w:rsid w:val="0053766C"/>
    <w:rsid w:val="00573490"/>
    <w:rsid w:val="00583E86"/>
    <w:rsid w:val="0059081E"/>
    <w:rsid w:val="00597277"/>
    <w:rsid w:val="005B2497"/>
    <w:rsid w:val="005C6C22"/>
    <w:rsid w:val="00601EB4"/>
    <w:rsid w:val="006659F7"/>
    <w:rsid w:val="0069428B"/>
    <w:rsid w:val="006979A2"/>
    <w:rsid w:val="006C4900"/>
    <w:rsid w:val="006C5770"/>
    <w:rsid w:val="006E1FD2"/>
    <w:rsid w:val="006E74C8"/>
    <w:rsid w:val="006F4020"/>
    <w:rsid w:val="007155F7"/>
    <w:rsid w:val="0071581A"/>
    <w:rsid w:val="00747D72"/>
    <w:rsid w:val="007601F9"/>
    <w:rsid w:val="00761A6B"/>
    <w:rsid w:val="00764366"/>
    <w:rsid w:val="007670FA"/>
    <w:rsid w:val="0077233A"/>
    <w:rsid w:val="007727F5"/>
    <w:rsid w:val="00785D5C"/>
    <w:rsid w:val="007921A1"/>
    <w:rsid w:val="00792DBE"/>
    <w:rsid w:val="007A0CDE"/>
    <w:rsid w:val="007B0F44"/>
    <w:rsid w:val="007C559A"/>
    <w:rsid w:val="007D1B0A"/>
    <w:rsid w:val="007D5BFF"/>
    <w:rsid w:val="008000C8"/>
    <w:rsid w:val="00803EDB"/>
    <w:rsid w:val="00824A1F"/>
    <w:rsid w:val="00843378"/>
    <w:rsid w:val="00844EA8"/>
    <w:rsid w:val="00890145"/>
    <w:rsid w:val="008950A4"/>
    <w:rsid w:val="008B23B6"/>
    <w:rsid w:val="008C1360"/>
    <w:rsid w:val="008E748D"/>
    <w:rsid w:val="00915C21"/>
    <w:rsid w:val="0093530F"/>
    <w:rsid w:val="00941C9C"/>
    <w:rsid w:val="009732DC"/>
    <w:rsid w:val="0097735F"/>
    <w:rsid w:val="00981ABC"/>
    <w:rsid w:val="00986297"/>
    <w:rsid w:val="009B7E91"/>
    <w:rsid w:val="009D765C"/>
    <w:rsid w:val="009E1CFB"/>
    <w:rsid w:val="009F28C7"/>
    <w:rsid w:val="00A02F8D"/>
    <w:rsid w:val="00A05E00"/>
    <w:rsid w:val="00A11EDE"/>
    <w:rsid w:val="00A15A22"/>
    <w:rsid w:val="00A16801"/>
    <w:rsid w:val="00A256DE"/>
    <w:rsid w:val="00A263E8"/>
    <w:rsid w:val="00A37CB3"/>
    <w:rsid w:val="00A46C1B"/>
    <w:rsid w:val="00A516E9"/>
    <w:rsid w:val="00A52A6C"/>
    <w:rsid w:val="00A64A63"/>
    <w:rsid w:val="00A75335"/>
    <w:rsid w:val="00A87E5A"/>
    <w:rsid w:val="00A955C8"/>
    <w:rsid w:val="00AB06CB"/>
    <w:rsid w:val="00AC0519"/>
    <w:rsid w:val="00AC389A"/>
    <w:rsid w:val="00AD31F3"/>
    <w:rsid w:val="00AD4881"/>
    <w:rsid w:val="00AE053A"/>
    <w:rsid w:val="00B12363"/>
    <w:rsid w:val="00B332AC"/>
    <w:rsid w:val="00B40BC7"/>
    <w:rsid w:val="00B50C1C"/>
    <w:rsid w:val="00B62464"/>
    <w:rsid w:val="00B72BED"/>
    <w:rsid w:val="00B7530E"/>
    <w:rsid w:val="00B76F26"/>
    <w:rsid w:val="00B80098"/>
    <w:rsid w:val="00B80877"/>
    <w:rsid w:val="00B81615"/>
    <w:rsid w:val="00B848A1"/>
    <w:rsid w:val="00B8515A"/>
    <w:rsid w:val="00B91169"/>
    <w:rsid w:val="00BA0C4B"/>
    <w:rsid w:val="00BA795D"/>
    <w:rsid w:val="00BB3414"/>
    <w:rsid w:val="00BC1E44"/>
    <w:rsid w:val="00BC7CFF"/>
    <w:rsid w:val="00BE3A69"/>
    <w:rsid w:val="00C1309E"/>
    <w:rsid w:val="00C1484A"/>
    <w:rsid w:val="00C1640E"/>
    <w:rsid w:val="00C27051"/>
    <w:rsid w:val="00C2791D"/>
    <w:rsid w:val="00C345DB"/>
    <w:rsid w:val="00C35B98"/>
    <w:rsid w:val="00C36EBA"/>
    <w:rsid w:val="00C429A4"/>
    <w:rsid w:val="00C44B2C"/>
    <w:rsid w:val="00C52412"/>
    <w:rsid w:val="00C649D1"/>
    <w:rsid w:val="00C71AF7"/>
    <w:rsid w:val="00C728E8"/>
    <w:rsid w:val="00C80EEA"/>
    <w:rsid w:val="00C82682"/>
    <w:rsid w:val="00C97BAA"/>
    <w:rsid w:val="00CB0003"/>
    <w:rsid w:val="00CB588F"/>
    <w:rsid w:val="00CC0E08"/>
    <w:rsid w:val="00CD3352"/>
    <w:rsid w:val="00CE48C7"/>
    <w:rsid w:val="00CE4E72"/>
    <w:rsid w:val="00D25EF4"/>
    <w:rsid w:val="00D353F3"/>
    <w:rsid w:val="00D45286"/>
    <w:rsid w:val="00D66E56"/>
    <w:rsid w:val="00D673C1"/>
    <w:rsid w:val="00D75B1A"/>
    <w:rsid w:val="00D83983"/>
    <w:rsid w:val="00D97291"/>
    <w:rsid w:val="00DB08D3"/>
    <w:rsid w:val="00DB5277"/>
    <w:rsid w:val="00DC3554"/>
    <w:rsid w:val="00DC7465"/>
    <w:rsid w:val="00DD06DA"/>
    <w:rsid w:val="00DD334D"/>
    <w:rsid w:val="00E16D5B"/>
    <w:rsid w:val="00E20DD7"/>
    <w:rsid w:val="00E2151A"/>
    <w:rsid w:val="00E31752"/>
    <w:rsid w:val="00E3187A"/>
    <w:rsid w:val="00E32D17"/>
    <w:rsid w:val="00E36245"/>
    <w:rsid w:val="00E60D5F"/>
    <w:rsid w:val="00E756B2"/>
    <w:rsid w:val="00EA021B"/>
    <w:rsid w:val="00EC22C4"/>
    <w:rsid w:val="00ED7354"/>
    <w:rsid w:val="00EE27AB"/>
    <w:rsid w:val="00EE6B3E"/>
    <w:rsid w:val="00EF56F9"/>
    <w:rsid w:val="00F14CBE"/>
    <w:rsid w:val="00F40FAC"/>
    <w:rsid w:val="00F54A66"/>
    <w:rsid w:val="00F6074B"/>
    <w:rsid w:val="00F66692"/>
    <w:rsid w:val="00F77A4D"/>
    <w:rsid w:val="00F77DEA"/>
    <w:rsid w:val="00F8246C"/>
    <w:rsid w:val="00F92711"/>
    <w:rsid w:val="00FA1133"/>
    <w:rsid w:val="00FA628E"/>
    <w:rsid w:val="00FE2EDD"/>
    <w:rsid w:val="01A54E7C"/>
    <w:rsid w:val="02CD758C"/>
    <w:rsid w:val="05AA653C"/>
    <w:rsid w:val="099C773B"/>
    <w:rsid w:val="0AEF4B3F"/>
    <w:rsid w:val="10261530"/>
    <w:rsid w:val="136F2AEE"/>
    <w:rsid w:val="1E8B7543"/>
    <w:rsid w:val="215025B4"/>
    <w:rsid w:val="2CD979CA"/>
    <w:rsid w:val="36973EBC"/>
    <w:rsid w:val="37422732"/>
    <w:rsid w:val="37ED49D2"/>
    <w:rsid w:val="3CFC0F3C"/>
    <w:rsid w:val="41C15A00"/>
    <w:rsid w:val="44013AA5"/>
    <w:rsid w:val="4A2D3F4C"/>
    <w:rsid w:val="4AC357AD"/>
    <w:rsid w:val="4B2C3957"/>
    <w:rsid w:val="501D2775"/>
    <w:rsid w:val="52D41ACF"/>
    <w:rsid w:val="53AE6F42"/>
    <w:rsid w:val="59F32486"/>
    <w:rsid w:val="5BFC6DBF"/>
    <w:rsid w:val="5D400DD6"/>
    <w:rsid w:val="5EBC0BC3"/>
    <w:rsid w:val="5F405755"/>
    <w:rsid w:val="611C1DA8"/>
    <w:rsid w:val="630F079A"/>
    <w:rsid w:val="6459476B"/>
    <w:rsid w:val="65374306"/>
    <w:rsid w:val="67C50E43"/>
    <w:rsid w:val="682E590A"/>
    <w:rsid w:val="6AFF0928"/>
    <w:rsid w:val="6C9D6941"/>
    <w:rsid w:val="6CC14A1B"/>
    <w:rsid w:val="74567C89"/>
    <w:rsid w:val="74782AA1"/>
    <w:rsid w:val="75CC1256"/>
    <w:rsid w:val="7628529F"/>
    <w:rsid w:val="76B272E7"/>
    <w:rsid w:val="779260BA"/>
    <w:rsid w:val="7D442DC2"/>
    <w:rsid w:val="7FFF2609"/>
    <w:rsid w:val="EBFB0DA2"/>
    <w:rsid w:val="EDD7B0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560" w:lineRule="exact"/>
    </w:pPr>
    <w:rPr>
      <w:rFonts w:ascii="Times New Roman" w:hAnsi="Times New Roman" w:eastAsia="仿宋" w:cs="Times New Roman"/>
      <w:kern w:val="2"/>
      <w:sz w:val="3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style>
  <w:style w:type="paragraph" w:styleId="3">
    <w:name w:val="Plain Text"/>
    <w:basedOn w:val="1"/>
    <w:link w:val="13"/>
    <w:unhideWhenUsed/>
    <w:qFormat/>
    <w:uiPriority w:val="0"/>
    <w:pPr>
      <w:widowControl w:val="0"/>
      <w:spacing w:line="360" w:lineRule="auto"/>
      <w:ind w:firstLine="480" w:firstLineChars="200"/>
      <w:jc w:val="both"/>
    </w:pPr>
    <w:rPr>
      <w:rFonts w:hint="eastAsia" w:ascii="仿宋" w:eastAsia="宋体"/>
      <w:sz w:val="24"/>
      <w:szCs w:val="20"/>
    </w:rPr>
  </w:style>
  <w:style w:type="paragraph" w:styleId="4">
    <w:name w:val="footer"/>
    <w:basedOn w:val="1"/>
    <w:link w:val="15"/>
    <w:unhideWhenUsed/>
    <w:qFormat/>
    <w:uiPriority w:val="99"/>
    <w:pPr>
      <w:tabs>
        <w:tab w:val="center" w:pos="4153"/>
        <w:tab w:val="right" w:pos="8306"/>
      </w:tabs>
      <w:snapToGrid w:val="0"/>
      <w:spacing w:line="240" w:lineRule="atLeas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Normal (Web)"/>
    <w:basedOn w:val="1"/>
    <w:unhideWhenUsed/>
    <w:qFormat/>
    <w:uiPriority w:val="99"/>
    <w:rPr>
      <w:sz w:val="24"/>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styleId="11">
    <w:name w:val="annotation reference"/>
    <w:basedOn w:val="9"/>
    <w:semiHidden/>
    <w:unhideWhenUsed/>
    <w:qFormat/>
    <w:uiPriority w:val="0"/>
    <w:rPr>
      <w:sz w:val="21"/>
      <w:szCs w:val="21"/>
    </w:rPr>
  </w:style>
  <w:style w:type="paragraph" w:customStyle="1" w:styleId="12">
    <w:name w:val="Default"/>
    <w:unhideWhenUsed/>
    <w:qFormat/>
    <w:uiPriority w:val="99"/>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character" w:customStyle="1" w:styleId="13">
    <w:name w:val="纯文本 字符"/>
    <w:link w:val="3"/>
    <w:qFormat/>
    <w:uiPriority w:val="0"/>
    <w:rPr>
      <w:rFonts w:ascii="仿宋" w:hAnsi="Times New Roman" w:eastAsia="宋体" w:cs="Times New Roman"/>
      <w:sz w:val="24"/>
      <w:szCs w:val="20"/>
    </w:rPr>
  </w:style>
  <w:style w:type="character" w:customStyle="1" w:styleId="14">
    <w:name w:val="页眉 字符"/>
    <w:link w:val="5"/>
    <w:qFormat/>
    <w:uiPriority w:val="99"/>
    <w:rPr>
      <w:rFonts w:ascii="Times New Roman" w:hAnsi="Times New Roman" w:eastAsia="仿宋" w:cs="Times New Roman"/>
      <w:sz w:val="18"/>
      <w:szCs w:val="18"/>
    </w:rPr>
  </w:style>
  <w:style w:type="character" w:customStyle="1" w:styleId="15">
    <w:name w:val="页脚 字符"/>
    <w:link w:val="4"/>
    <w:qFormat/>
    <w:uiPriority w:val="99"/>
    <w:rPr>
      <w:rFonts w:ascii="Times New Roman" w:hAnsi="Times New Roman" w:eastAsia="仿宋" w:cs="Times New Roman"/>
      <w:sz w:val="18"/>
      <w:szCs w:val="18"/>
    </w:rPr>
  </w:style>
  <w:style w:type="character" w:customStyle="1" w:styleId="16">
    <w:name w:val="17"/>
    <w:basedOn w:val="9"/>
    <w:qFormat/>
    <w:uiPriority w:val="0"/>
    <w:rPr>
      <w:rFonts w:hint="eastAsia" w:ascii="仿宋" w:eastAsia="仿宋"/>
      <w:b/>
      <w:bCs/>
      <w:kern w:val="44"/>
      <w:sz w:val="44"/>
      <w:szCs w:val="44"/>
    </w:rPr>
  </w:style>
  <w:style w:type="paragraph" w:styleId="17">
    <w:name w:val="List Paragraph"/>
    <w:basedOn w:val="1"/>
    <w:unhideWhenUsed/>
    <w:qFormat/>
    <w:uiPriority w:val="99"/>
    <w:pPr>
      <w:ind w:firstLine="420" w:firstLineChars="200"/>
    </w:pPr>
  </w:style>
  <w:style w:type="table" w:customStyle="1" w:styleId="18">
    <w:name w:val="网格型1"/>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4573</Words>
  <Characters>5152</Characters>
  <Lines>4</Lines>
  <Paragraphs>1</Paragraphs>
  <TotalTime>14</TotalTime>
  <ScaleCrop>false</ScaleCrop>
  <LinksUpToDate>false</LinksUpToDate>
  <CharactersWithSpaces>5215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2023-08-10T17:06:00Z</dcterms:created>
  <dc:creator>whx</dc:creator>
  <cp:lastModifiedBy>王雪峰</cp:lastModifiedBy>
  <dcterms:modified xsi:type="dcterms:W3CDTF">2026-09-23T02:12:56Z</dcterms:modified>
  <dc:title>2021年度广西技术发明奖（科技进步奖）提名公示信息</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420F3243221F45D4BE8B0E6060C8452A</vt:lpwstr>
  </property>
  <property fmtid="{D5CDD505-2E9C-101B-9397-08002B2CF9AE}" pid="4" name="KSOTemplateDocerSaveRecord">
    <vt:lpwstr>eyJoZGlkIjoiODIyNDQxZDk5MTY5OWExMDYwMmE1NzkxMzZkZTQ1MTQiLCJ1c2VySWQiOiIxNjcxNDcyNzM5In0=</vt:lpwstr>
  </property>
</Properties>
</file>